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36263B0C" w:rsidR="00E42EDE" w:rsidRPr="005708E7" w:rsidRDefault="006F64B5" w:rsidP="00212E51">
            <w:pPr>
              <w:spacing w:before="60" w:after="60"/>
              <w:jc w:val="both"/>
              <w:rPr>
                <w:rFonts w:ascii="Arial" w:hAnsi="Arial" w:cs="Arial"/>
                <w:b/>
                <w:sz w:val="20"/>
              </w:rPr>
            </w:pPr>
            <w:r w:rsidRPr="006F64B5">
              <w:rPr>
                <w:rFonts w:ascii="Arial" w:hAnsi="Arial" w:cs="Arial"/>
                <w:b/>
                <w:sz w:val="20"/>
              </w:rPr>
              <w:t>Functional Skills Tutor in English &amp; Maths (Work-Based)</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0DB32F16" w:rsidR="00E42EDE" w:rsidRPr="005708E7" w:rsidRDefault="006F64B5" w:rsidP="00BA5A10">
            <w:pPr>
              <w:spacing w:before="60" w:after="60"/>
              <w:jc w:val="both"/>
              <w:rPr>
                <w:rFonts w:ascii="Arial" w:hAnsi="Arial" w:cs="Arial"/>
                <w:b/>
                <w:sz w:val="20"/>
              </w:rPr>
            </w:pPr>
            <w:r>
              <w:rPr>
                <w:rFonts w:ascii="Arial" w:hAnsi="Arial" w:cs="Arial"/>
                <w:b/>
                <w:sz w:val="20"/>
              </w:rPr>
              <w:t>Friday 7 November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4740" w14:textId="77777777" w:rsidR="005679F7" w:rsidRDefault="005679F7">
      <w:r>
        <w:separator/>
      </w:r>
    </w:p>
  </w:endnote>
  <w:endnote w:type="continuationSeparator" w:id="0">
    <w:p w14:paraId="3FACDE24" w14:textId="77777777" w:rsidR="005679F7" w:rsidRDefault="0056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07E2" w14:textId="77777777" w:rsidR="005679F7" w:rsidRDefault="005679F7">
      <w:r>
        <w:separator/>
      </w:r>
    </w:p>
  </w:footnote>
  <w:footnote w:type="continuationSeparator" w:id="0">
    <w:p w14:paraId="50B5FEF3" w14:textId="77777777" w:rsidR="005679F7" w:rsidRDefault="00567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679F7"/>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C592C"/>
    <w:rsid w:val="006D2668"/>
    <w:rsid w:val="006D26D3"/>
    <w:rsid w:val="006D3D21"/>
    <w:rsid w:val="006E3F33"/>
    <w:rsid w:val="006E439F"/>
    <w:rsid w:val="006E78D3"/>
    <w:rsid w:val="006F01F3"/>
    <w:rsid w:val="006F2F8D"/>
    <w:rsid w:val="006F5048"/>
    <w:rsid w:val="006F64B5"/>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2A1A"/>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1572</Words>
  <Characters>8472</Characters>
  <Application>Microsoft Office Word</Application>
  <DocSecurity>0</DocSecurity>
  <Lines>612</Lines>
  <Paragraphs>181</Paragraphs>
  <ScaleCrop>false</ScaleCrop>
  <Company>Myerscough College</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2025-10-23T09:20:00Z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