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6B1B4519" w:rsidR="00E42EDE" w:rsidRPr="005708E7" w:rsidRDefault="007B7730" w:rsidP="2CDDD1E4">
            <w:pPr>
              <w:spacing w:before="60" w:after="60"/>
              <w:jc w:val="both"/>
              <w:rPr>
                <w:rFonts w:ascii="Arial" w:hAnsi="Arial" w:cs="Arial"/>
                <w:b/>
                <w:bCs/>
                <w:sz w:val="20"/>
              </w:rPr>
            </w:pPr>
            <w:r w:rsidRPr="007B7730">
              <w:rPr>
                <w:rFonts w:ascii="Arial" w:hAnsi="Arial" w:cs="Arial"/>
                <w:b/>
                <w:bCs/>
                <w:sz w:val="20"/>
              </w:rPr>
              <w:t>Practical Skills Tutor - Golf Coach</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13B954B" w:rsidR="00E42EDE" w:rsidRPr="005708E7" w:rsidRDefault="007B7730" w:rsidP="2CDDD1E4">
            <w:pPr>
              <w:spacing w:before="60" w:after="60"/>
              <w:jc w:val="both"/>
              <w:rPr>
                <w:rFonts w:ascii="Arial" w:hAnsi="Arial" w:cs="Arial"/>
                <w:b/>
                <w:bCs/>
                <w:sz w:val="20"/>
              </w:rPr>
            </w:pPr>
            <w:r>
              <w:rPr>
                <w:rFonts w:ascii="Arial" w:hAnsi="Arial" w:cs="Arial"/>
                <w:b/>
                <w:bCs/>
                <w:sz w:val="20"/>
              </w:rPr>
              <w:t>Sunday 7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7CF3" w14:textId="77777777" w:rsidR="002A1BBF" w:rsidRDefault="002A1BBF">
      <w:r>
        <w:separator/>
      </w:r>
    </w:p>
  </w:endnote>
  <w:endnote w:type="continuationSeparator" w:id="0">
    <w:p w14:paraId="6DFA7D7B" w14:textId="77777777" w:rsidR="002A1BBF" w:rsidRDefault="002A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3FE6" w14:textId="77777777" w:rsidR="002A1BBF" w:rsidRDefault="002A1BBF">
      <w:r>
        <w:separator/>
      </w:r>
    </w:p>
  </w:footnote>
  <w:footnote w:type="continuationSeparator" w:id="0">
    <w:p w14:paraId="68E95F08" w14:textId="77777777" w:rsidR="002A1BBF" w:rsidRDefault="002A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1BBF"/>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730"/>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E30E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1628</Words>
  <Characters>9285</Characters>
  <Application>Microsoft Office Word</Application>
  <DocSecurity>0</DocSecurity>
  <Lines>77</Lines>
  <Paragraphs>21</Paragraphs>
  <ScaleCrop>false</ScaleCrop>
  <Company>Myerscough College</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2026-05-07T09:45:00Z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