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6B1D96">
        <w:trPr>
          <w:tblCellSpacing w:w="15" w:type="dxa"/>
        </w:trPr>
        <w:tc>
          <w:tcPr>
            <w:tcW w:w="5000" w:type="pct"/>
            <w:gridSpan w:val="7"/>
            <w:shd w:val="clear" w:color="auto" w:fill="FFFFFF"/>
            <w:vAlign w:val="center"/>
            <w:hideMark/>
          </w:tcPr>
          <w:p w:rsidR="006B1D96" w:rsidRDefault="00A3255E">
            <w:pPr>
              <w:jc w:val="center"/>
              <w:rPr>
                <w:rFonts w:eastAsia="Times New Roman"/>
                <w:color w:val="000000"/>
              </w:rPr>
            </w:pPr>
            <w:r>
              <w:rPr>
                <w:rFonts w:eastAsia="Times New Roman"/>
                <w:b/>
                <w:bCs/>
                <w:color w:val="000000"/>
              </w:rPr>
              <w:t>MINUTES</w:t>
            </w:r>
          </w:p>
        </w:tc>
      </w:tr>
      <w:tr w:rsidR="006B1D96">
        <w:trPr>
          <w:tblCellSpacing w:w="15" w:type="dxa"/>
        </w:trPr>
        <w:tc>
          <w:tcPr>
            <w:tcW w:w="5000" w:type="pct"/>
            <w:gridSpan w:val="7"/>
            <w:tcBorders>
              <w:bottom w:val="nil"/>
            </w:tcBorders>
            <w:shd w:val="clear" w:color="auto" w:fill="FFFFFF"/>
            <w:vAlign w:val="center"/>
            <w:hideMark/>
          </w:tcPr>
          <w:p w:rsidR="006B1D96" w:rsidRDefault="00A3255E">
            <w:pPr>
              <w:rPr>
                <w:rFonts w:eastAsia="Times New Roman"/>
              </w:rPr>
            </w:pPr>
            <w:r>
              <w:rPr>
                <w:rFonts w:eastAsia="Times New Roman"/>
              </w:rPr>
              <w:t> </w:t>
            </w:r>
          </w:p>
        </w:tc>
      </w:tr>
      <w:tr w:rsidR="006B1D96">
        <w:trPr>
          <w:tblCellSpacing w:w="15" w:type="dxa"/>
        </w:trPr>
        <w:tc>
          <w:tcPr>
            <w:tcW w:w="5000" w:type="pct"/>
            <w:gridSpan w:val="7"/>
            <w:shd w:val="clear" w:color="auto" w:fill="FFFFFF"/>
            <w:hideMark/>
          </w:tcPr>
          <w:p w:rsidR="006B1D96" w:rsidRDefault="00A3255E">
            <w:pPr>
              <w:jc w:val="center"/>
              <w:rPr>
                <w:rFonts w:eastAsia="Times New Roman"/>
                <w:color w:val="000000"/>
              </w:rPr>
            </w:pPr>
            <w:r>
              <w:rPr>
                <w:rFonts w:eastAsia="Times New Roman"/>
                <w:i/>
                <w:iCs/>
                <w:color w:val="000000"/>
              </w:rPr>
              <w:t>Corporation No 161</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Date:</w:t>
            </w:r>
          </w:p>
        </w:tc>
        <w:tc>
          <w:tcPr>
            <w:tcW w:w="50" w:type="pct"/>
            <w:vAlign w:val="center"/>
            <w:hideMark/>
          </w:tcPr>
          <w:p w:rsidR="006B1D96" w:rsidRDefault="00A3255E">
            <w:pPr>
              <w:rPr>
                <w:rFonts w:eastAsia="Times New Roman"/>
              </w:rPr>
            </w:pPr>
            <w:r>
              <w:rPr>
                <w:rFonts w:eastAsia="Times New Roman"/>
              </w:rPr>
              <w:t> </w:t>
            </w:r>
          </w:p>
        </w:tc>
        <w:tc>
          <w:tcPr>
            <w:tcW w:w="1750" w:type="pct"/>
            <w:hideMark/>
          </w:tcPr>
          <w:p w:rsidR="006B1D96" w:rsidRDefault="00A3255E">
            <w:pPr>
              <w:rPr>
                <w:rFonts w:eastAsia="Times New Roman"/>
              </w:rPr>
            </w:pPr>
            <w:r>
              <w:rPr>
                <w:rFonts w:eastAsia="Times New Roman"/>
                <w:i/>
                <w:iCs/>
              </w:rPr>
              <w:t>02/11/2021 (Tuesday)</w:t>
            </w:r>
          </w:p>
        </w:tc>
        <w:tc>
          <w:tcPr>
            <w:tcW w:w="100" w:type="pct"/>
            <w:vAlign w:val="center"/>
            <w:hideMark/>
          </w:tcPr>
          <w:p w:rsidR="006B1D96" w:rsidRDefault="00A3255E">
            <w:pPr>
              <w:rPr>
                <w:rFonts w:eastAsia="Times New Roman"/>
              </w:rPr>
            </w:pPr>
            <w:r>
              <w:rPr>
                <w:rFonts w:eastAsia="Times New Roman"/>
              </w:rPr>
              <w:t> </w:t>
            </w:r>
          </w:p>
        </w:tc>
        <w:tc>
          <w:tcPr>
            <w:tcW w:w="500" w:type="pct"/>
            <w:hideMark/>
          </w:tcPr>
          <w:p w:rsidR="006B1D96" w:rsidRDefault="00A3255E">
            <w:pPr>
              <w:jc w:val="right"/>
              <w:rPr>
                <w:rFonts w:eastAsia="Times New Roman"/>
              </w:rPr>
            </w:pPr>
            <w:r>
              <w:rPr>
                <w:rFonts w:eastAsia="Times New Roman"/>
              </w:rPr>
              <w:t>Time:</w:t>
            </w:r>
          </w:p>
        </w:tc>
        <w:tc>
          <w:tcPr>
            <w:tcW w:w="50" w:type="pct"/>
            <w:vAlign w:val="center"/>
            <w:hideMark/>
          </w:tcPr>
          <w:p w:rsidR="006B1D96" w:rsidRDefault="00A3255E">
            <w:pPr>
              <w:rPr>
                <w:rFonts w:eastAsia="Times New Roman"/>
              </w:rPr>
            </w:pPr>
            <w:r>
              <w:rPr>
                <w:rFonts w:eastAsia="Times New Roman"/>
              </w:rPr>
              <w:t> </w:t>
            </w:r>
          </w:p>
        </w:tc>
        <w:tc>
          <w:tcPr>
            <w:tcW w:w="1750" w:type="pct"/>
            <w:hideMark/>
          </w:tcPr>
          <w:p w:rsidR="006B1D96" w:rsidRDefault="00A3255E">
            <w:pPr>
              <w:rPr>
                <w:rFonts w:eastAsia="Times New Roman"/>
              </w:rPr>
            </w:pPr>
            <w:r>
              <w:rPr>
                <w:rFonts w:eastAsia="Times New Roman"/>
                <w:i/>
                <w:iCs/>
              </w:rPr>
              <w:t>18:00–20:00</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Venue:</w:t>
            </w:r>
          </w:p>
        </w:tc>
        <w:tc>
          <w:tcPr>
            <w:tcW w:w="50" w:type="pct"/>
            <w:vAlign w:val="center"/>
            <w:hideMark/>
          </w:tcPr>
          <w:p w:rsidR="006B1D96" w:rsidRDefault="00A3255E">
            <w:pPr>
              <w:rPr>
                <w:rFonts w:eastAsia="Times New Roman"/>
              </w:rPr>
            </w:pPr>
            <w:r>
              <w:rPr>
                <w:rFonts w:eastAsia="Times New Roman"/>
              </w:rPr>
              <w:t> </w:t>
            </w:r>
          </w:p>
        </w:tc>
        <w:tc>
          <w:tcPr>
            <w:tcW w:w="1750" w:type="pct"/>
            <w:hideMark/>
          </w:tcPr>
          <w:p w:rsidR="006B1D96" w:rsidRDefault="004A6751">
            <w:pPr>
              <w:rPr>
                <w:rFonts w:eastAsia="Times New Roman"/>
              </w:rPr>
            </w:pPr>
            <w:r>
              <w:rPr>
                <w:rFonts w:eastAsia="Times New Roman"/>
              </w:rPr>
              <w:t>T5</w:t>
            </w:r>
            <w:bookmarkStart w:id="0" w:name="_GoBack"/>
            <w:bookmarkEnd w:id="0"/>
          </w:p>
        </w:tc>
        <w:tc>
          <w:tcPr>
            <w:tcW w:w="100" w:type="pct"/>
            <w:vAlign w:val="center"/>
            <w:hideMark/>
          </w:tcPr>
          <w:p w:rsidR="006B1D96" w:rsidRDefault="00A3255E">
            <w:pPr>
              <w:rPr>
                <w:rFonts w:eastAsia="Times New Roman"/>
              </w:rPr>
            </w:pPr>
            <w:r>
              <w:rPr>
                <w:rFonts w:eastAsia="Times New Roman"/>
              </w:rPr>
              <w:t> </w:t>
            </w:r>
          </w:p>
        </w:tc>
        <w:tc>
          <w:tcPr>
            <w:tcW w:w="500" w:type="pct"/>
            <w:hideMark/>
          </w:tcPr>
          <w:p w:rsidR="006B1D96" w:rsidRDefault="00A3255E">
            <w:pPr>
              <w:jc w:val="right"/>
              <w:rPr>
                <w:rFonts w:eastAsia="Times New Roman"/>
              </w:rPr>
            </w:pPr>
            <w:r>
              <w:rPr>
                <w:rFonts w:eastAsia="Times New Roman"/>
              </w:rPr>
              <w:t>Committee:</w:t>
            </w:r>
          </w:p>
        </w:tc>
        <w:tc>
          <w:tcPr>
            <w:tcW w:w="50" w:type="pct"/>
            <w:vAlign w:val="center"/>
            <w:hideMark/>
          </w:tcPr>
          <w:p w:rsidR="006B1D96" w:rsidRDefault="00A3255E">
            <w:pPr>
              <w:rPr>
                <w:rFonts w:eastAsia="Times New Roman"/>
              </w:rPr>
            </w:pPr>
            <w:r>
              <w:rPr>
                <w:rFonts w:eastAsia="Times New Roman"/>
              </w:rPr>
              <w:t> </w:t>
            </w:r>
          </w:p>
        </w:tc>
        <w:tc>
          <w:tcPr>
            <w:tcW w:w="1750" w:type="pct"/>
            <w:hideMark/>
          </w:tcPr>
          <w:p w:rsidR="006B1D96" w:rsidRDefault="00A3255E">
            <w:pPr>
              <w:rPr>
                <w:rFonts w:eastAsia="Times New Roman"/>
              </w:rPr>
            </w:pPr>
            <w:r>
              <w:rPr>
                <w:rFonts w:eastAsia="Times New Roman"/>
                <w:i/>
                <w:iCs/>
              </w:rPr>
              <w:t>Corporation</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Notes:</w:t>
            </w:r>
          </w:p>
        </w:tc>
        <w:tc>
          <w:tcPr>
            <w:tcW w:w="50" w:type="pct"/>
            <w:vAlign w:val="center"/>
            <w:hideMark/>
          </w:tcPr>
          <w:p w:rsidR="006B1D96" w:rsidRDefault="00A3255E">
            <w:pPr>
              <w:rPr>
                <w:rFonts w:eastAsia="Times New Roman"/>
              </w:rPr>
            </w:pPr>
            <w:r>
              <w:rPr>
                <w:rFonts w:eastAsia="Times New Roman"/>
              </w:rPr>
              <w:t> </w:t>
            </w:r>
          </w:p>
        </w:tc>
        <w:tc>
          <w:tcPr>
            <w:tcW w:w="2700" w:type="pct"/>
            <w:gridSpan w:val="5"/>
            <w:hideMark/>
          </w:tcPr>
          <w:p w:rsidR="006B1D96" w:rsidRDefault="00A3255E">
            <w:pPr>
              <w:rPr>
                <w:rFonts w:eastAsia="Times New Roman"/>
              </w:rPr>
            </w:pPr>
            <w:r>
              <w:rPr>
                <w:rFonts w:eastAsia="Times New Roman"/>
                <w:i/>
                <w:iCs/>
              </w:rPr>
              <w:t xml:space="preserve">The meeting will be held in the </w:t>
            </w:r>
            <w:proofErr w:type="spellStart"/>
            <w:r>
              <w:rPr>
                <w:rFonts w:eastAsia="Times New Roman"/>
                <w:i/>
                <w:iCs/>
              </w:rPr>
              <w:t>Bowland</w:t>
            </w:r>
            <w:proofErr w:type="spellEnd"/>
            <w:r>
              <w:rPr>
                <w:rFonts w:eastAsia="Times New Roman"/>
                <w:i/>
                <w:iCs/>
              </w:rPr>
              <w:t xml:space="preserve"> Suite at the Preston Campus. A voucher will be issue to enable Governors to obtain a meal in the College Restaurant prior to the meeting.</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Present:</w:t>
            </w:r>
          </w:p>
        </w:tc>
        <w:tc>
          <w:tcPr>
            <w:tcW w:w="50" w:type="pct"/>
            <w:vAlign w:val="center"/>
            <w:hideMark/>
          </w:tcPr>
          <w:p w:rsidR="006B1D96" w:rsidRDefault="00A3255E">
            <w:pPr>
              <w:rPr>
                <w:rFonts w:eastAsia="Times New Roman"/>
              </w:rPr>
            </w:pPr>
            <w:r>
              <w:rPr>
                <w:rFonts w:eastAsia="Times New Roman"/>
              </w:rPr>
              <w:t> </w:t>
            </w:r>
          </w:p>
        </w:tc>
        <w:tc>
          <w:tcPr>
            <w:tcW w:w="2700" w:type="pct"/>
            <w:gridSpan w:val="5"/>
            <w:hideMark/>
          </w:tcPr>
          <w:p w:rsidR="006B1D96" w:rsidRDefault="00A3255E">
            <w:pPr>
              <w:rPr>
                <w:rFonts w:eastAsia="Times New Roman"/>
              </w:rPr>
            </w:pPr>
            <w:r>
              <w:rPr>
                <w:rFonts w:eastAsia="Times New Roman"/>
                <w:i/>
                <w:iCs/>
              </w:rPr>
              <w:t xml:space="preserve">Alison Robinson (Principal), Allan Foster (Chair), Allison Jones, Barbara </w:t>
            </w:r>
            <w:proofErr w:type="spellStart"/>
            <w:r>
              <w:rPr>
                <w:rFonts w:eastAsia="Times New Roman"/>
                <w:i/>
                <w:iCs/>
              </w:rPr>
              <w:t>Godby</w:t>
            </w:r>
            <w:proofErr w:type="spellEnd"/>
            <w:r>
              <w:rPr>
                <w:rFonts w:eastAsia="Times New Roman"/>
                <w:i/>
                <w:iCs/>
              </w:rPr>
              <w:t xml:space="preserve">, Bryony-Grace Clark, Clare James, David Hall, Debbie Clayton, Jane Booker (Vice Chair), Kevin Burke, Louise Bell, </w:t>
            </w:r>
            <w:proofErr w:type="spellStart"/>
            <w:r>
              <w:rPr>
                <w:rFonts w:eastAsia="Times New Roman"/>
                <w:i/>
                <w:iCs/>
              </w:rPr>
              <w:t>Rafik</w:t>
            </w:r>
            <w:proofErr w:type="spellEnd"/>
            <w:r>
              <w:rPr>
                <w:rFonts w:eastAsia="Times New Roman"/>
                <w:i/>
                <w:iCs/>
              </w:rPr>
              <w:t xml:space="preserve"> Adam, Robert Wallace, Sue </w:t>
            </w:r>
            <w:proofErr w:type="spellStart"/>
            <w:r>
              <w:rPr>
                <w:rFonts w:eastAsia="Times New Roman"/>
                <w:i/>
                <w:iCs/>
              </w:rPr>
              <w:t>Collinge</w:t>
            </w:r>
            <w:proofErr w:type="spellEnd"/>
            <w:r>
              <w:rPr>
                <w:rFonts w:eastAsia="Times New Roman"/>
                <w:i/>
                <w:iCs/>
              </w:rPr>
              <w:t xml:space="preserve"> and Thomas Cocks</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Attending:</w:t>
            </w:r>
          </w:p>
        </w:tc>
        <w:tc>
          <w:tcPr>
            <w:tcW w:w="50" w:type="pct"/>
            <w:vAlign w:val="center"/>
            <w:hideMark/>
          </w:tcPr>
          <w:p w:rsidR="006B1D96" w:rsidRDefault="00A3255E">
            <w:pPr>
              <w:rPr>
                <w:rFonts w:eastAsia="Times New Roman"/>
              </w:rPr>
            </w:pPr>
            <w:r>
              <w:rPr>
                <w:rFonts w:eastAsia="Times New Roman"/>
              </w:rPr>
              <w:t> </w:t>
            </w:r>
          </w:p>
        </w:tc>
        <w:tc>
          <w:tcPr>
            <w:tcW w:w="2700" w:type="pct"/>
            <w:gridSpan w:val="5"/>
            <w:hideMark/>
          </w:tcPr>
          <w:p w:rsidR="006B1D96" w:rsidRDefault="00A3255E">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Clerks:</w:t>
            </w:r>
          </w:p>
        </w:tc>
        <w:tc>
          <w:tcPr>
            <w:tcW w:w="50" w:type="pct"/>
            <w:vAlign w:val="center"/>
            <w:hideMark/>
          </w:tcPr>
          <w:p w:rsidR="006B1D96" w:rsidRDefault="00A3255E">
            <w:pPr>
              <w:rPr>
                <w:rFonts w:eastAsia="Times New Roman"/>
              </w:rPr>
            </w:pPr>
            <w:r>
              <w:rPr>
                <w:rFonts w:eastAsia="Times New Roman"/>
              </w:rPr>
              <w:t> </w:t>
            </w:r>
          </w:p>
        </w:tc>
        <w:tc>
          <w:tcPr>
            <w:tcW w:w="2700" w:type="pct"/>
            <w:gridSpan w:val="5"/>
            <w:hideMark/>
          </w:tcPr>
          <w:p w:rsidR="006B1D96" w:rsidRDefault="00A3255E">
            <w:pPr>
              <w:rPr>
                <w:rFonts w:eastAsia="Times New Roman"/>
              </w:rPr>
            </w:pPr>
            <w:r>
              <w:rPr>
                <w:rFonts w:eastAsia="Times New Roman"/>
                <w:i/>
                <w:iCs/>
              </w:rPr>
              <w:t>Ron Matthews (Clerk)</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r w:rsidR="006B1D96">
        <w:trPr>
          <w:tblCellSpacing w:w="15" w:type="dxa"/>
        </w:trPr>
        <w:tc>
          <w:tcPr>
            <w:tcW w:w="500" w:type="pct"/>
            <w:hideMark/>
          </w:tcPr>
          <w:p w:rsidR="006B1D96" w:rsidRDefault="00A3255E">
            <w:pPr>
              <w:jc w:val="right"/>
              <w:rPr>
                <w:rFonts w:eastAsia="Times New Roman"/>
              </w:rPr>
            </w:pPr>
            <w:r>
              <w:rPr>
                <w:rFonts w:eastAsia="Times New Roman"/>
              </w:rPr>
              <w:t>Apologies:</w:t>
            </w:r>
          </w:p>
        </w:tc>
        <w:tc>
          <w:tcPr>
            <w:tcW w:w="50" w:type="pct"/>
            <w:vAlign w:val="center"/>
            <w:hideMark/>
          </w:tcPr>
          <w:p w:rsidR="006B1D96" w:rsidRDefault="00A3255E">
            <w:pPr>
              <w:rPr>
                <w:rFonts w:eastAsia="Times New Roman"/>
              </w:rPr>
            </w:pPr>
            <w:r>
              <w:rPr>
                <w:rFonts w:eastAsia="Times New Roman"/>
              </w:rPr>
              <w:t> </w:t>
            </w:r>
          </w:p>
        </w:tc>
        <w:tc>
          <w:tcPr>
            <w:tcW w:w="2700" w:type="pct"/>
            <w:gridSpan w:val="5"/>
            <w:hideMark/>
          </w:tcPr>
          <w:p w:rsidR="006B1D96" w:rsidRDefault="00A3255E">
            <w:pPr>
              <w:rPr>
                <w:rFonts w:eastAsia="Times New Roman"/>
              </w:rPr>
            </w:pPr>
            <w:r>
              <w:rPr>
                <w:rFonts w:eastAsia="Times New Roman"/>
                <w:i/>
                <w:iCs/>
              </w:rPr>
              <w:t>Robin Newton-</w:t>
            </w:r>
            <w:proofErr w:type="spellStart"/>
            <w:r>
              <w:rPr>
                <w:rFonts w:eastAsia="Times New Roman"/>
                <w:i/>
                <w:iCs/>
              </w:rPr>
              <w:t>Syms</w:t>
            </w:r>
            <w:proofErr w:type="spellEnd"/>
          </w:p>
        </w:tc>
      </w:tr>
      <w:tr w:rsidR="006B1D96">
        <w:trPr>
          <w:tblCellSpacing w:w="15" w:type="dxa"/>
        </w:trPr>
        <w:tc>
          <w:tcPr>
            <w:tcW w:w="5000" w:type="pct"/>
            <w:gridSpan w:val="7"/>
            <w:vAlign w:val="center"/>
            <w:hideMark/>
          </w:tcPr>
          <w:p w:rsidR="006B1D96" w:rsidRDefault="00A3255E">
            <w:pPr>
              <w:rPr>
                <w:rFonts w:eastAsia="Times New Roman"/>
              </w:rPr>
            </w:pPr>
            <w:r>
              <w:rPr>
                <w:rFonts w:eastAsia="Times New Roman"/>
              </w:rPr>
              <w:t> </w:t>
            </w:r>
          </w:p>
        </w:tc>
      </w:tr>
    </w:tbl>
    <w:p w:rsidR="006B1D96" w:rsidRDefault="006B1D9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6B1D96">
        <w:trPr>
          <w:tblCellSpacing w:w="15" w:type="dxa"/>
        </w:trPr>
        <w:tc>
          <w:tcPr>
            <w:tcW w:w="5000" w:type="pct"/>
            <w:gridSpan w:val="2"/>
            <w:vAlign w:val="center"/>
            <w:hideMark/>
          </w:tcPr>
          <w:p w:rsidR="006B1D96" w:rsidRDefault="00A3255E">
            <w:pPr>
              <w:jc w:val="center"/>
              <w:rPr>
                <w:rFonts w:eastAsia="Times New Roman"/>
              </w:rPr>
            </w:pPr>
            <w:r>
              <w:rPr>
                <w:rFonts w:eastAsia="Times New Roman"/>
                <w:b/>
                <w:bCs/>
                <w:i/>
                <w:iCs/>
              </w:rPr>
              <w:t>Public</w:t>
            </w:r>
            <w:r>
              <w:rPr>
                <w:rFonts w:eastAsia="Times New Roman"/>
                <w:b/>
                <w:bCs/>
              </w:rPr>
              <w:t xml:space="preserve"> Minutes</w:t>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rPr>
              <w:t>Item number:</w:t>
            </w:r>
          </w:p>
        </w:tc>
        <w:tc>
          <w:tcPr>
            <w:tcW w:w="4000" w:type="pct"/>
            <w:hideMark/>
          </w:tcPr>
          <w:p w:rsidR="006B1D96" w:rsidRDefault="00A3255E">
            <w:pPr>
              <w:rPr>
                <w:rFonts w:eastAsia="Times New Roman"/>
              </w:rPr>
            </w:pPr>
            <w:r>
              <w:rPr>
                <w:rFonts w:eastAsia="Times New Roman"/>
              </w:rPr>
              <w:t>Item description:</w:t>
            </w:r>
          </w:p>
        </w:tc>
      </w:tr>
      <w:tr w:rsidR="006B1D96">
        <w:trPr>
          <w:tblCellSpacing w:w="15" w:type="dxa"/>
        </w:trPr>
        <w:tc>
          <w:tcPr>
            <w:tcW w:w="1000" w:type="pct"/>
            <w:hideMark/>
          </w:tcPr>
          <w:p w:rsidR="006B1D96" w:rsidRDefault="00A3255E">
            <w:pPr>
              <w:rPr>
                <w:rFonts w:eastAsia="Times New Roman"/>
              </w:rPr>
            </w:pPr>
            <w:r>
              <w:rPr>
                <w:rFonts w:eastAsia="Times New Roman"/>
              </w:rPr>
              <w:t>(and category)</w:t>
            </w:r>
          </w:p>
        </w:tc>
        <w:tc>
          <w:tcPr>
            <w:tcW w:w="4000" w:type="pct"/>
            <w:hideMark/>
          </w:tcPr>
          <w:p w:rsidR="006B1D96" w:rsidRDefault="00A3255E">
            <w:pPr>
              <w:rPr>
                <w:rFonts w:eastAsia="Times New Roman"/>
              </w:rPr>
            </w:pPr>
            <w:r>
              <w:rPr>
                <w:rFonts w:eastAsia="Times New Roman"/>
              </w:rPr>
              <w:t> </w:t>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97.21</w:t>
            </w:r>
          </w:p>
        </w:tc>
        <w:tc>
          <w:tcPr>
            <w:tcW w:w="4000" w:type="pct"/>
            <w:hideMark/>
          </w:tcPr>
          <w:p w:rsidR="006B1D96" w:rsidRDefault="00A3255E">
            <w:pPr>
              <w:rPr>
                <w:rFonts w:eastAsia="Times New Roman"/>
              </w:rPr>
            </w:pPr>
            <w:r>
              <w:rPr>
                <w:rFonts w:eastAsia="Times New Roman"/>
                <w:b/>
                <w:bCs/>
                <w:i/>
                <w:iCs/>
              </w:rPr>
              <w:t>Attendance of College Management</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AE7DF5" w:rsidRDefault="00A3255E">
            <w:pPr>
              <w:rPr>
                <w:rFonts w:eastAsia="Times New Roman"/>
              </w:rPr>
            </w:pPr>
            <w:r>
              <w:rPr>
                <w:rFonts w:eastAsia="Times New Roman"/>
              </w:rPr>
              <w:t>Standing Order 13 states that:</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AE7DF5" w:rsidRDefault="00AE7DF5">
            <w:pPr>
              <w:rPr>
                <w:rFonts w:eastAsia="Times New Roman"/>
                <w:i/>
                <w:iCs/>
              </w:rPr>
            </w:pPr>
          </w:p>
          <w:p w:rsidR="00AE7DF5" w:rsidRDefault="00A3255E">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AE7DF5" w:rsidRDefault="00AE7DF5">
            <w:pPr>
              <w:rPr>
                <w:rFonts w:eastAsia="Times New Roman"/>
                <w:i/>
                <w:iCs/>
              </w:rPr>
            </w:pPr>
          </w:p>
          <w:p w:rsidR="00AE7DF5" w:rsidRDefault="00A3255E">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AE7DF5" w:rsidRDefault="00AE7DF5">
            <w:pPr>
              <w:rPr>
                <w:rFonts w:eastAsia="Times New Roman"/>
                <w:i/>
                <w:iCs/>
              </w:rPr>
            </w:pPr>
          </w:p>
          <w:p w:rsidR="00AE7DF5" w:rsidRDefault="00A3255E">
            <w:pPr>
              <w:rPr>
                <w:rFonts w:eastAsia="Times New Roman"/>
                <w:i/>
                <w:iCs/>
              </w:rPr>
            </w:pPr>
            <w:r>
              <w:rPr>
                <w:rStyle w:val="Emphasis"/>
                <w:rFonts w:eastAsia="Times New Roman"/>
              </w:rPr>
              <w:t>(b) The Corporation may however, exclude members of staff from attending any business that it deems necessary.</w:t>
            </w:r>
            <w:r>
              <w:rPr>
                <w:rFonts w:eastAsia="Times New Roman"/>
                <w:i/>
                <w:iCs/>
              </w:rPr>
              <w:br w:type="page"/>
            </w:r>
            <w:r>
              <w:rPr>
                <w:rFonts w:eastAsia="Times New Roman"/>
                <w:i/>
                <w:iCs/>
              </w:rPr>
              <w:br w:type="page"/>
            </w:r>
          </w:p>
          <w:p w:rsidR="00AE7DF5" w:rsidRDefault="00AE7DF5">
            <w:pPr>
              <w:rPr>
                <w:rFonts w:eastAsia="Times New Roman"/>
                <w:i/>
                <w:iCs/>
              </w:rPr>
            </w:pPr>
          </w:p>
          <w:p w:rsidR="00AE7DF5" w:rsidRDefault="00A3255E">
            <w:pPr>
              <w:rPr>
                <w:rFonts w:eastAsia="Times New Roman"/>
                <w:i/>
                <w:iCs/>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i/>
                <w:iCs/>
              </w:rPr>
              <w:br w:type="page"/>
            </w:r>
          </w:p>
          <w:p w:rsidR="00AE7DF5" w:rsidRDefault="00AE7DF5">
            <w:pPr>
              <w:rPr>
                <w:rFonts w:eastAsia="Times New Roman"/>
                <w:i/>
                <w:iCs/>
              </w:rPr>
            </w:pPr>
          </w:p>
          <w:p w:rsidR="00AE7DF5" w:rsidRDefault="00A3255E">
            <w:pPr>
              <w:rPr>
                <w:rFonts w:eastAsia="Times New Roman"/>
              </w:rPr>
            </w:pPr>
            <w:r>
              <w:rPr>
                <w:rFonts w:eastAsia="Times New Roman"/>
              </w:rPr>
              <w:t>The Corporation does encourage Co-opted Governors to attend and take part in the discussion and debate.</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rPr>
            </w:pPr>
            <w:r>
              <w:rPr>
                <w:rStyle w:val="Strong"/>
                <w:rFonts w:eastAsia="Times New Roman"/>
              </w:rPr>
              <w:t>Resolved:</w:t>
            </w:r>
            <w:r>
              <w:rPr>
                <w:rFonts w:eastAsia="Times New Roman"/>
              </w:rPr>
              <w:br w:type="page"/>
            </w:r>
            <w:r>
              <w:rPr>
                <w:rFonts w:eastAsia="Times New Roman"/>
              </w:rPr>
              <w:br w:type="page"/>
            </w:r>
          </w:p>
          <w:p w:rsidR="00AE7DF5" w:rsidRDefault="00AE7DF5">
            <w:pPr>
              <w:rPr>
                <w:rFonts w:eastAsia="Times New Roman"/>
              </w:rPr>
            </w:pPr>
          </w:p>
          <w:p w:rsidR="006B1D96" w:rsidRDefault="00A3255E">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98.21</w:t>
            </w:r>
          </w:p>
        </w:tc>
        <w:tc>
          <w:tcPr>
            <w:tcW w:w="4000" w:type="pct"/>
            <w:hideMark/>
          </w:tcPr>
          <w:p w:rsidR="006B1D96" w:rsidRDefault="00A3255E">
            <w:pPr>
              <w:rPr>
                <w:rFonts w:eastAsia="Times New Roman"/>
              </w:rPr>
            </w:pPr>
            <w:r>
              <w:rPr>
                <w:rFonts w:eastAsia="Times New Roman"/>
                <w:b/>
                <w:bCs/>
                <w:i/>
                <w:iCs/>
              </w:rPr>
              <w:t>Apologies for Absence</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Record</w:t>
            </w:r>
          </w:p>
        </w:tc>
        <w:tc>
          <w:tcPr>
            <w:tcW w:w="4000" w:type="pct"/>
            <w:hideMark/>
          </w:tcPr>
          <w:p w:rsidR="006B1D96" w:rsidRDefault="00A3255E">
            <w:pPr>
              <w:rPr>
                <w:rFonts w:eastAsia="Times New Roman"/>
              </w:rPr>
            </w:pPr>
            <w:r>
              <w:rPr>
                <w:rFonts w:eastAsia="Times New Roman"/>
              </w:rPr>
              <w:br w:type="page"/>
              <w:t>Apologies for absence had been received from Kevin Burke. Thomas Cocks had resigned as a Student Governor.</w:t>
            </w:r>
            <w:r>
              <w:rPr>
                <w:rFonts w:eastAsia="Times New Roman"/>
              </w:rPr>
              <w:br w:type="page"/>
            </w:r>
            <w:r>
              <w:rPr>
                <w:rFonts w:eastAsia="Times New Roman"/>
              </w:rPr>
              <w:br w:type="page"/>
              <w:t>Whilst the meeting was face-to-face other Governors</w:t>
            </w:r>
            <w:r w:rsidR="00AE7DF5">
              <w:rPr>
                <w:rFonts w:eastAsia="Times New Roman"/>
              </w:rPr>
              <w:t xml:space="preserve"> </w:t>
            </w:r>
            <w:r>
              <w:rPr>
                <w:rFonts w:eastAsia="Times New Roman"/>
              </w:rPr>
              <w:t>were able to join the meeting remotely.</w:t>
            </w:r>
            <w:r>
              <w:rPr>
                <w:rFonts w:eastAsia="Times New Roman"/>
              </w:rPr>
              <w:br w:type="page"/>
            </w:r>
            <w:r>
              <w:rPr>
                <w:rFonts w:eastAsia="Times New Roman"/>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99.21</w:t>
            </w:r>
          </w:p>
        </w:tc>
        <w:tc>
          <w:tcPr>
            <w:tcW w:w="4000" w:type="pct"/>
            <w:hideMark/>
          </w:tcPr>
          <w:p w:rsidR="006B1D96" w:rsidRDefault="00A3255E">
            <w:pPr>
              <w:rPr>
                <w:rFonts w:eastAsia="Times New Roman"/>
              </w:rPr>
            </w:pPr>
            <w:r>
              <w:rPr>
                <w:rFonts w:eastAsia="Times New Roman"/>
                <w:b/>
                <w:bCs/>
                <w:i/>
                <w:iCs/>
              </w:rPr>
              <w:t>Appointment of Student Governors 2021/2022</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AE7DF5" w:rsidRDefault="00A3255E">
            <w:pPr>
              <w:rPr>
                <w:rFonts w:eastAsia="Times New Roman"/>
              </w:rPr>
            </w:pPr>
            <w:r>
              <w:rPr>
                <w:rFonts w:eastAsia="Times New Roman"/>
              </w:rPr>
              <w:t>Following the notification of the resignation of Student Governor Thomas Cocks the student body had elected Dylan Ashcroft to serve on the Governing body for the remainder of the academic year.</w:t>
            </w:r>
          </w:p>
          <w:p w:rsidR="00AE7DF5" w:rsidRDefault="00AE7DF5">
            <w:pPr>
              <w:rPr>
                <w:rFonts w:eastAsia="Times New Roman"/>
              </w:rPr>
            </w:pPr>
          </w:p>
          <w:p w:rsidR="00AE7DF5" w:rsidRDefault="00A3255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AE7DF5" w:rsidRDefault="00AE7DF5">
            <w:pPr>
              <w:rPr>
                <w:rFonts w:eastAsia="Times New Roman"/>
                <w:b/>
                <w:bCs/>
              </w:rPr>
            </w:pPr>
          </w:p>
          <w:p w:rsidR="006B1D96" w:rsidRDefault="00A3255E">
            <w:pPr>
              <w:rPr>
                <w:rFonts w:eastAsia="Times New Roman"/>
              </w:rPr>
            </w:pPr>
            <w:r>
              <w:rPr>
                <w:rStyle w:val="Strong"/>
                <w:rFonts w:eastAsia="Times New Roman"/>
              </w:rPr>
              <w:t>That Dylan Ashcroft be appointed Student Governor for the remainder of the academic year and to serve as a member of the Audit and Governance Committee.</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6B1D96">
            <w:pPr>
              <w:rPr>
                <w:rFonts w:eastAsia="Times New Roman"/>
              </w:rPr>
            </w:pPr>
          </w:p>
        </w:tc>
      </w:tr>
      <w:tr w:rsidR="006B1D96">
        <w:trPr>
          <w:tblCellSpacing w:w="15" w:type="dxa"/>
        </w:trPr>
        <w:tc>
          <w:tcPr>
            <w:tcW w:w="1000" w:type="pct"/>
            <w:hideMark/>
          </w:tcPr>
          <w:p w:rsidR="006B1D96" w:rsidRDefault="00A3255E">
            <w:pPr>
              <w:rPr>
                <w:rFonts w:eastAsia="Times New Roman"/>
              </w:rPr>
            </w:pPr>
            <w:r>
              <w:rPr>
                <w:rFonts w:eastAsia="Times New Roman"/>
                <w:b/>
                <w:bCs/>
              </w:rPr>
              <w:lastRenderedPageBreak/>
              <w:t>100.21</w:t>
            </w:r>
          </w:p>
        </w:tc>
        <w:tc>
          <w:tcPr>
            <w:tcW w:w="4000" w:type="pct"/>
            <w:hideMark/>
          </w:tcPr>
          <w:p w:rsidR="006B1D96" w:rsidRDefault="00A3255E">
            <w:pPr>
              <w:rPr>
                <w:rFonts w:eastAsia="Times New Roman"/>
              </w:rPr>
            </w:pPr>
            <w:r>
              <w:rPr>
                <w:rFonts w:eastAsia="Times New Roman"/>
                <w:b/>
                <w:bCs/>
                <w:i/>
                <w:iCs/>
              </w:rPr>
              <w:t>Public Minutes of Previous Meeting</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6B1D96" w:rsidRDefault="00A3255E">
            <w:pPr>
              <w:rPr>
                <w:rFonts w:eastAsia="Times New Roman"/>
              </w:rPr>
            </w:pPr>
            <w:r>
              <w:rPr>
                <w:rFonts w:eastAsia="Times New Roman"/>
              </w:rPr>
              <w:t>The public minutes of meeting number 160 held on Tuesday 28 September 2021, published on the extranet, were agreed and signed as a true and correct record of the meeting.</w:t>
            </w:r>
            <w:r>
              <w:rPr>
                <w:rFonts w:eastAsia="Times New Roman"/>
              </w:rPr>
              <w:br w:type="page"/>
            </w:r>
            <w:r>
              <w:rPr>
                <w:rFonts w:eastAsia="Times New Roman"/>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101.21</w:t>
            </w:r>
          </w:p>
        </w:tc>
        <w:tc>
          <w:tcPr>
            <w:tcW w:w="4000" w:type="pct"/>
            <w:hideMark/>
          </w:tcPr>
          <w:p w:rsidR="006B1D96" w:rsidRDefault="00A3255E">
            <w:pPr>
              <w:rPr>
                <w:rFonts w:eastAsia="Times New Roman"/>
              </w:rPr>
            </w:pPr>
            <w:r>
              <w:rPr>
                <w:rFonts w:eastAsia="Times New Roman"/>
                <w:b/>
                <w:bCs/>
                <w:i/>
                <w:iCs/>
              </w:rPr>
              <w:t>Declarations of Interest</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Record</w:t>
            </w:r>
          </w:p>
        </w:tc>
        <w:tc>
          <w:tcPr>
            <w:tcW w:w="4000" w:type="pct"/>
            <w:hideMark/>
          </w:tcPr>
          <w:p w:rsidR="006B1D96" w:rsidRDefault="00A3255E">
            <w:pPr>
              <w:rPr>
                <w:rFonts w:eastAsia="Times New Roman"/>
              </w:rPr>
            </w:pPr>
            <w:r>
              <w:rPr>
                <w:rFonts w:eastAsia="Times New Roman"/>
              </w:rPr>
              <w:t>There were no declarations of interest made with respect to items on the public agenda.</w:t>
            </w:r>
            <w:r>
              <w:rPr>
                <w:rFonts w:eastAsia="Times New Roman"/>
              </w:rPr>
              <w:br w:type="page"/>
            </w:r>
            <w:r>
              <w:rPr>
                <w:rFonts w:eastAsia="Times New Roman"/>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102.21</w:t>
            </w:r>
          </w:p>
        </w:tc>
        <w:tc>
          <w:tcPr>
            <w:tcW w:w="4000" w:type="pct"/>
            <w:hideMark/>
          </w:tcPr>
          <w:p w:rsidR="006B1D96" w:rsidRDefault="00A3255E">
            <w:pPr>
              <w:rPr>
                <w:rFonts w:eastAsia="Times New Roman"/>
              </w:rPr>
            </w:pPr>
            <w:r>
              <w:rPr>
                <w:rFonts w:eastAsia="Times New Roman"/>
                <w:b/>
                <w:bCs/>
                <w:i/>
                <w:iCs/>
              </w:rPr>
              <w:t>Correspondence</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AE7DF5" w:rsidRDefault="00A3255E">
            <w:pPr>
              <w:rPr>
                <w:rFonts w:eastAsia="Times New Roman"/>
              </w:rPr>
            </w:pPr>
            <w:r>
              <w:rPr>
                <w:rFonts w:eastAsia="Times New Roman"/>
              </w:rPr>
              <w:t>The Corporation considered a letter from the ESFA indicating that the College's Financial Health Grade for 2020/2021 was Outstanding and for the current year 2021/2022, based on the agreed budget, it would be Good.</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rPr>
            </w:pPr>
            <w:r>
              <w:rPr>
                <w:rFonts w:eastAsia="Times New Roman"/>
              </w:rPr>
              <w:t>Also circulated with the letter was a financial dashboard compiled from the financial returns from Myerscough and other colleges.</w:t>
            </w:r>
          </w:p>
          <w:p w:rsidR="00AE7DF5" w:rsidRDefault="00AE7DF5">
            <w:pPr>
              <w:rPr>
                <w:rFonts w:eastAsia="Times New Roman"/>
              </w:rPr>
            </w:pPr>
          </w:p>
          <w:p w:rsidR="00AE7DF5" w:rsidRDefault="00A3255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AE7DF5" w:rsidRDefault="00AE7DF5">
            <w:pPr>
              <w:rPr>
                <w:rFonts w:eastAsia="Times New Roman"/>
                <w:b/>
                <w:bCs/>
              </w:rPr>
            </w:pPr>
          </w:p>
          <w:p w:rsidR="006B1D96" w:rsidRDefault="00A3255E">
            <w:pPr>
              <w:rPr>
                <w:rFonts w:eastAsia="Times New Roman"/>
              </w:rPr>
            </w:pPr>
            <w:r>
              <w:rPr>
                <w:rStyle w:val="Strong"/>
                <w:rFonts w:eastAsia="Times New Roman"/>
              </w:rPr>
              <w:t>That the correspondence be received and Officers be congratulated on the excellent financial performance.</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103.21</w:t>
            </w:r>
          </w:p>
        </w:tc>
        <w:tc>
          <w:tcPr>
            <w:tcW w:w="4000" w:type="pct"/>
            <w:hideMark/>
          </w:tcPr>
          <w:p w:rsidR="006B1D96" w:rsidRDefault="00A3255E">
            <w:pPr>
              <w:rPr>
                <w:rFonts w:eastAsia="Times New Roman"/>
              </w:rPr>
            </w:pPr>
            <w:r>
              <w:rPr>
                <w:rFonts w:eastAsia="Times New Roman"/>
                <w:b/>
                <w:bCs/>
                <w:i/>
                <w:iCs/>
              </w:rPr>
              <w:t>College Academic Performance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AE7DF5" w:rsidRDefault="00A3255E">
            <w:pPr>
              <w:rPr>
                <w:rFonts w:eastAsia="Times New Roman"/>
              </w:rPr>
            </w:pPr>
            <w:r>
              <w:rPr>
                <w:rFonts w:eastAsia="Times New Roman"/>
              </w:rPr>
              <w:t>The Corporation considered a presentation from the Vice Principal covering the academic performance of the College for 2020/2021. Governors asked questions and sought clarification on various aspects of the performance, which fed into the majority of the items on the agenda.</w:t>
            </w:r>
          </w:p>
          <w:p w:rsidR="00AE7DF5" w:rsidRDefault="00AE7DF5">
            <w:pPr>
              <w:rPr>
                <w:rFonts w:eastAsia="Times New Roman"/>
              </w:rPr>
            </w:pPr>
          </w:p>
          <w:p w:rsidR="00AE7DF5" w:rsidRDefault="00A3255E">
            <w:pPr>
              <w:rPr>
                <w:rFonts w:eastAsia="Times New Roman"/>
              </w:rPr>
            </w:pPr>
            <w:r>
              <w:rPr>
                <w:rFonts w:eastAsia="Times New Roman"/>
              </w:rPr>
              <w:br w:type="page"/>
            </w:r>
            <w:r>
              <w:rPr>
                <w:rFonts w:eastAsia="Times New Roman"/>
              </w:rPr>
              <w:br w:type="page"/>
              <w:t>Areas for attention in the coming year were highlighted for each of the academic areas.</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b/>
                <w:bCs/>
                <w:i/>
                <w:iCs/>
              </w:rPr>
            </w:pPr>
            <w:r>
              <w:rPr>
                <w:rFonts w:eastAsia="Times New Roman"/>
              </w:rPr>
              <w:t>The presentation assisted Corporation in its decision making for the assurance statements on Academic Higher Education.</w:t>
            </w:r>
            <w:r>
              <w:rPr>
                <w:rFonts w:eastAsia="Times New Roman"/>
                <w:b/>
                <w:bCs/>
                <w:i/>
                <w:iCs/>
              </w:rPr>
              <w:br w:type="page"/>
            </w:r>
            <w:r>
              <w:rPr>
                <w:rFonts w:eastAsia="Times New Roman"/>
                <w:b/>
                <w:bCs/>
                <w:i/>
                <w:iCs/>
              </w:rPr>
              <w:br w:type="page"/>
            </w:r>
          </w:p>
          <w:p w:rsidR="00AE7DF5" w:rsidRDefault="00AE7DF5">
            <w:pPr>
              <w:rPr>
                <w:rFonts w:eastAsia="Times New Roman"/>
                <w:b/>
                <w:bCs/>
                <w:i/>
                <w:iCs/>
              </w:rPr>
            </w:pPr>
          </w:p>
          <w:p w:rsidR="00AE7DF5" w:rsidRDefault="00A3255E">
            <w:pPr>
              <w:rPr>
                <w:rStyle w:val="Strong"/>
                <w:rFonts w:eastAsia="Times New Roman"/>
              </w:rPr>
            </w:pPr>
            <w:r>
              <w:rPr>
                <w:rStyle w:val="Strong"/>
                <w:rFonts w:eastAsia="Times New Roman"/>
              </w:rPr>
              <w:t>Resolved:</w:t>
            </w:r>
          </w:p>
          <w:p w:rsidR="00AE7DF5" w:rsidRDefault="00AE7DF5">
            <w:pPr>
              <w:rPr>
                <w:rStyle w:val="Strong"/>
                <w:rFonts w:eastAsia="Times New Roman"/>
              </w:rPr>
            </w:pPr>
          </w:p>
          <w:p w:rsidR="006B1D96" w:rsidRDefault="00A3255E">
            <w:pPr>
              <w:rPr>
                <w:rFonts w:eastAsia="Times New Roman"/>
              </w:rPr>
            </w:pPr>
            <w:r>
              <w:rPr>
                <w:rFonts w:eastAsia="Times New Roman"/>
                <w:b/>
                <w:bCs/>
              </w:rPr>
              <w:br w:type="page"/>
            </w:r>
            <w:r>
              <w:rPr>
                <w:rFonts w:eastAsia="Times New Roman"/>
                <w:b/>
                <w:bCs/>
              </w:rPr>
              <w:br w:type="page"/>
            </w:r>
            <w:r>
              <w:rPr>
                <w:rStyle w:val="Strong"/>
                <w:rFonts w:eastAsia="Times New Roman"/>
              </w:rPr>
              <w:t>That the Academic Performance Presentation be received.</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104.21</w:t>
            </w:r>
          </w:p>
        </w:tc>
        <w:tc>
          <w:tcPr>
            <w:tcW w:w="4000" w:type="pct"/>
            <w:hideMark/>
          </w:tcPr>
          <w:p w:rsidR="006B1D96" w:rsidRDefault="00A3255E">
            <w:pPr>
              <w:rPr>
                <w:rFonts w:eastAsia="Times New Roman"/>
              </w:rPr>
            </w:pPr>
            <w:r>
              <w:rPr>
                <w:rFonts w:eastAsia="Times New Roman"/>
                <w:b/>
                <w:bCs/>
                <w:i/>
                <w:iCs/>
              </w:rPr>
              <w:t>Further Education End of Year Performance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AE7DF5" w:rsidRDefault="00A3255E">
            <w:pPr>
              <w:rPr>
                <w:rFonts w:eastAsia="Times New Roman"/>
                <w:b/>
                <w:bCs/>
              </w:rPr>
            </w:pPr>
            <w:r>
              <w:rPr>
                <w:rFonts w:eastAsia="Times New Roman"/>
              </w:rPr>
              <w:t>Corporation considered the further education performance.</w:t>
            </w:r>
            <w:r>
              <w:rPr>
                <w:rFonts w:eastAsia="Times New Roman"/>
              </w:rPr>
              <w:br w:type="page"/>
            </w:r>
            <w:r>
              <w:rPr>
                <w:rFonts w:eastAsia="Times New Roman"/>
                <w:b/>
                <w:bCs/>
              </w:rPr>
              <w:br w:type="page"/>
            </w:r>
          </w:p>
          <w:p w:rsidR="00AE7DF5" w:rsidRDefault="00AE7DF5">
            <w:pPr>
              <w:rPr>
                <w:rFonts w:eastAsia="Times New Roman"/>
                <w:b/>
                <w:bCs/>
              </w:rPr>
            </w:pPr>
          </w:p>
          <w:p w:rsidR="00AE7DF5" w:rsidRDefault="00A3255E">
            <w:pPr>
              <w:rPr>
                <w:rFonts w:eastAsia="Times New Roman"/>
                <w:b/>
                <w:bCs/>
              </w:rPr>
            </w:pPr>
            <w:r>
              <w:rPr>
                <w:rStyle w:val="Strong"/>
                <w:rFonts w:eastAsia="Times New Roman"/>
              </w:rPr>
              <w:t>14-16 Schools - </w:t>
            </w:r>
            <w:r>
              <w:rPr>
                <w:rFonts w:eastAsia="Times New Roman"/>
              </w:rPr>
              <w:t>Achievement was 88.7%, within a pass rate of 92%. Home schooled learners made up a significant number of the students. Retention remained strong.  Members received assurance that the operation was economically viable. They noted the successful progression of a high number of vulnerable learners to 16 to 18 provision.</w:t>
            </w:r>
            <w:r>
              <w:rPr>
                <w:rFonts w:eastAsia="Times New Roman"/>
                <w:b/>
                <w:bCs/>
              </w:rPr>
              <w:br w:type="page"/>
            </w:r>
            <w:r>
              <w:rPr>
                <w:rFonts w:eastAsia="Times New Roman"/>
                <w:b/>
                <w:bCs/>
              </w:rPr>
              <w:br w:type="page"/>
            </w:r>
          </w:p>
          <w:p w:rsidR="00AE7DF5" w:rsidRDefault="00AE7DF5">
            <w:pPr>
              <w:rPr>
                <w:rFonts w:eastAsia="Times New Roman"/>
                <w:b/>
                <w:bCs/>
              </w:rPr>
            </w:pPr>
          </w:p>
          <w:p w:rsidR="00AE7DF5" w:rsidRDefault="00A3255E">
            <w:pPr>
              <w:rPr>
                <w:rFonts w:eastAsia="Times New Roman"/>
              </w:rPr>
            </w:pPr>
            <w:r>
              <w:rPr>
                <w:rStyle w:val="Strong"/>
                <w:rFonts w:eastAsia="Times New Roman"/>
              </w:rPr>
              <w:t>FE -</w:t>
            </w:r>
            <w:r>
              <w:rPr>
                <w:rFonts w:eastAsia="Times New Roman"/>
              </w:rPr>
              <w:t xml:space="preserve"> Final results included a retention rate of 93% (College target 95%), pass rates were 85.5% including English and Maths (excluding E &amp; M, 93.1%) and an achievement rate of 85.2% including English and Maths (85% excluding E &amp; m). The report detailed retention, pass rates and achievement for each area across all centres. The report also showed that there had been a gradual decline in pass rates and achievement over recent years due to the impact of </w:t>
            </w:r>
            <w:proofErr w:type="spellStart"/>
            <w:r>
              <w:rPr>
                <w:rFonts w:eastAsia="Times New Roman"/>
              </w:rPr>
              <w:t>Covid</w:t>
            </w:r>
            <w:proofErr w:type="spellEnd"/>
            <w:r>
              <w:rPr>
                <w:rFonts w:eastAsia="Times New Roman"/>
              </w:rPr>
              <w:t xml:space="preserve"> 19, although retention had remained high at 93%. Attendance for last year had dropped to 79%.</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rPr>
            </w:pPr>
            <w:r>
              <w:rPr>
                <w:rFonts w:eastAsia="Times New Roman"/>
              </w:rPr>
              <w:t>High grade achievement showed an increase on last year at 55.68% but below the target of 64%. Areas requiring action in the coming year were highlighted in the report. </w:t>
            </w:r>
            <w:proofErr w:type="spellStart"/>
            <w:r>
              <w:rPr>
                <w:rFonts w:eastAsia="Times New Roman"/>
              </w:rPr>
              <w:t>Covid</w:t>
            </w:r>
            <w:proofErr w:type="spellEnd"/>
            <w:r>
              <w:rPr>
                <w:rFonts w:eastAsia="Times New Roman"/>
              </w:rPr>
              <w:t xml:space="preserve"> had a negative impact on achievement on some courses due to the inability of some learners to complete practical assessments.</w:t>
            </w:r>
            <w:r>
              <w:rPr>
                <w:rFonts w:eastAsia="Times New Roman"/>
              </w:rPr>
              <w:br w:type="page"/>
            </w:r>
            <w:r>
              <w:rPr>
                <w:rFonts w:eastAsia="Times New Roman"/>
              </w:rPr>
              <w:br w:type="page"/>
            </w:r>
          </w:p>
          <w:p w:rsidR="00AE7DF5" w:rsidRDefault="00AE7DF5">
            <w:pPr>
              <w:rPr>
                <w:rFonts w:eastAsia="Times New Roman"/>
              </w:rPr>
            </w:pPr>
          </w:p>
          <w:p w:rsidR="00AE7DF5" w:rsidRDefault="00A3255E" w:rsidP="00AE7DF5">
            <w:pPr>
              <w:rPr>
                <w:rFonts w:eastAsia="Times New Roman"/>
              </w:rPr>
            </w:pPr>
            <w:r>
              <w:rPr>
                <w:rFonts w:eastAsia="Times New Roman"/>
              </w:rPr>
              <w:t>There would be a continued focus on Maths, English and Functional Skills again this year.</w:t>
            </w:r>
            <w:r>
              <w:rPr>
                <w:rFonts w:eastAsia="Times New Roman"/>
              </w:rPr>
              <w:br w:type="page"/>
            </w:r>
            <w:r>
              <w:rPr>
                <w:rFonts w:eastAsia="Times New Roman"/>
              </w:rPr>
              <w:br w:type="page"/>
            </w:r>
          </w:p>
          <w:p w:rsidR="00AE7DF5" w:rsidRDefault="00AE7DF5" w:rsidP="00AE7DF5">
            <w:pPr>
              <w:rPr>
                <w:rFonts w:eastAsia="Times New Roman"/>
              </w:rPr>
            </w:pPr>
          </w:p>
          <w:p w:rsidR="00AE7DF5" w:rsidRDefault="00A3255E" w:rsidP="00AE7DF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AE7DF5" w:rsidRDefault="00AE7DF5" w:rsidP="00AE7DF5">
            <w:pPr>
              <w:rPr>
                <w:rFonts w:eastAsia="Times New Roman"/>
                <w:b/>
                <w:bCs/>
              </w:rPr>
            </w:pPr>
          </w:p>
          <w:p w:rsidR="006B1D96" w:rsidRDefault="00A3255E" w:rsidP="00AE7DF5">
            <w:pPr>
              <w:rPr>
                <w:rFonts w:eastAsia="Times New Roman"/>
              </w:rPr>
            </w:pPr>
            <w:r>
              <w:rPr>
                <w:rStyle w:val="Strong"/>
                <w:rFonts w:eastAsia="Times New Roman"/>
              </w:rPr>
              <w:t>That the Further Education Report for 2020/2021 be received.</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lastRenderedPageBreak/>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105.21</w:t>
            </w:r>
          </w:p>
        </w:tc>
        <w:tc>
          <w:tcPr>
            <w:tcW w:w="4000" w:type="pct"/>
            <w:hideMark/>
          </w:tcPr>
          <w:p w:rsidR="006B1D96" w:rsidRDefault="00A3255E">
            <w:pPr>
              <w:rPr>
                <w:rFonts w:eastAsia="Times New Roman"/>
              </w:rPr>
            </w:pPr>
            <w:r>
              <w:rPr>
                <w:rFonts w:eastAsia="Times New Roman"/>
                <w:b/>
                <w:bCs/>
                <w:i/>
                <w:iCs/>
              </w:rPr>
              <w:t>Higher Education End of Year Performance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AE7DF5" w:rsidRDefault="00A3255E">
            <w:pPr>
              <w:rPr>
                <w:rFonts w:eastAsia="Times New Roman"/>
              </w:rPr>
            </w:pPr>
            <w:r>
              <w:rPr>
                <w:rFonts w:eastAsia="Times New Roman"/>
              </w:rPr>
              <w:t>Corporation considered the end of year performance report on the provision of Higher Education at the College for the last academic year:</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rPr>
            </w:pPr>
            <w:r>
              <w:rPr>
                <w:rStyle w:val="Strong"/>
                <w:rFonts w:eastAsia="Times New Roman"/>
              </w:rPr>
              <w:t>Overall achievement</w:t>
            </w:r>
            <w:r>
              <w:rPr>
                <w:rFonts w:eastAsia="Times New Roman"/>
              </w:rPr>
              <w:t> - for the year was high at 89.3%</w:t>
            </w:r>
            <w:proofErr w:type="gramStart"/>
            <w:r>
              <w:rPr>
                <w:rFonts w:eastAsia="Times New Roman"/>
              </w:rPr>
              <w:t>  with</w:t>
            </w:r>
            <w:proofErr w:type="gramEnd"/>
            <w:r>
              <w:rPr>
                <w:rFonts w:eastAsia="Times New Roman"/>
              </w:rPr>
              <w:t xml:space="preserve"> high grade achievement at 48.3%. High grade achievement showed a slight decline overall. Recruitment to year-one full time programmes remains a priority. In year retention was 95.3%.</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rPr>
            </w:pPr>
            <w:r>
              <w:rPr>
                <w:rFonts w:eastAsia="Times New Roman"/>
              </w:rPr>
              <w:t xml:space="preserve">Strategies and Action Plans had been developed towards improving recruitment, retention and achievement, with recruitment to </w:t>
            </w:r>
            <w:proofErr w:type="gramStart"/>
            <w:r>
              <w:rPr>
                <w:rFonts w:eastAsia="Times New Roman"/>
              </w:rPr>
              <w:t>HE</w:t>
            </w:r>
            <w:proofErr w:type="gramEnd"/>
            <w:r>
              <w:rPr>
                <w:rFonts w:eastAsia="Times New Roman"/>
              </w:rPr>
              <w:t xml:space="preserve"> remaining a key priority for 2021/2022.</w:t>
            </w:r>
          </w:p>
          <w:p w:rsidR="00AE7DF5" w:rsidRDefault="00AE7DF5">
            <w:pPr>
              <w:rPr>
                <w:rFonts w:eastAsia="Times New Roman"/>
              </w:rPr>
            </w:pPr>
          </w:p>
          <w:p w:rsidR="00AE7DF5" w:rsidRDefault="00A3255E">
            <w:pPr>
              <w:rPr>
                <w:rFonts w:eastAsia="Times New Roman"/>
              </w:rPr>
            </w:pPr>
            <w:r>
              <w:rPr>
                <w:rFonts w:eastAsia="Times New Roman"/>
              </w:rPr>
              <w:br w:type="page"/>
            </w:r>
            <w:r>
              <w:rPr>
                <w:rFonts w:eastAsia="Times New Roman"/>
              </w:rPr>
              <w:br w:type="page"/>
              <w:t xml:space="preserve">The Action Planning would be included in the College HE Institutional Report for the University of Central Lancashire and the Access and Participation Plan for the Office for Students. Action plans would also be reported through the </w:t>
            </w:r>
            <w:proofErr w:type="spellStart"/>
            <w:r>
              <w:rPr>
                <w:rFonts w:eastAsia="Times New Roman"/>
              </w:rPr>
              <w:t>UCLan</w:t>
            </w:r>
            <w:proofErr w:type="spellEnd"/>
            <w:r>
              <w:rPr>
                <w:rFonts w:eastAsia="Times New Roman"/>
              </w:rPr>
              <w:t xml:space="preserve"> Partnership Report.</w:t>
            </w:r>
            <w:r>
              <w:rPr>
                <w:rFonts w:eastAsia="Times New Roman"/>
              </w:rPr>
              <w:br w:type="page"/>
            </w:r>
            <w:r>
              <w:rPr>
                <w:rFonts w:eastAsia="Times New Roman"/>
              </w:rPr>
              <w:br w:type="page"/>
            </w:r>
          </w:p>
          <w:p w:rsidR="00AE7DF5" w:rsidRDefault="00AE7DF5">
            <w:pPr>
              <w:rPr>
                <w:rFonts w:eastAsia="Times New Roman"/>
              </w:rPr>
            </w:pPr>
          </w:p>
          <w:p w:rsidR="00AE7DF5" w:rsidRDefault="00A3255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AE7DF5" w:rsidRDefault="00AE7DF5">
            <w:pPr>
              <w:rPr>
                <w:rFonts w:eastAsia="Times New Roman"/>
                <w:b/>
                <w:bCs/>
              </w:rPr>
            </w:pPr>
          </w:p>
          <w:p w:rsidR="006B1D96" w:rsidRDefault="00A3255E">
            <w:pPr>
              <w:rPr>
                <w:rFonts w:eastAsia="Times New Roman"/>
              </w:rPr>
            </w:pPr>
            <w:r>
              <w:rPr>
                <w:rStyle w:val="Strong"/>
                <w:rFonts w:eastAsia="Times New Roman"/>
              </w:rPr>
              <w:t>That the Higher Education Report be received.</w:t>
            </w:r>
            <w:r>
              <w:rPr>
                <w:rFonts w:eastAsia="Times New Roman"/>
              </w:rPr>
              <w:br w:type="page"/>
            </w:r>
            <w:r>
              <w:rPr>
                <w:rFonts w:eastAsia="Times New Roman"/>
              </w:rPr>
              <w:br w:type="page"/>
            </w:r>
          </w:p>
          <w:p w:rsidR="00AE7DF5" w:rsidRDefault="00AE7DF5">
            <w:pPr>
              <w:rPr>
                <w:rFonts w:eastAsia="Times New Roman"/>
              </w:rPr>
            </w:pPr>
          </w:p>
          <w:p w:rsidR="00AE7DF5" w:rsidRDefault="00AE7DF5">
            <w:pPr>
              <w:rPr>
                <w:rFonts w:eastAsia="Times New Roman"/>
              </w:rPr>
            </w:pPr>
          </w:p>
          <w:p w:rsidR="00AE7DF5" w:rsidRDefault="00AE7DF5">
            <w:pPr>
              <w:rPr>
                <w:rFonts w:eastAsia="Times New Roman"/>
              </w:rPr>
            </w:pPr>
          </w:p>
          <w:p w:rsidR="00AE7DF5" w:rsidRDefault="00AE7DF5">
            <w:pPr>
              <w:rPr>
                <w:rFonts w:eastAsia="Times New Roman"/>
              </w:rPr>
            </w:pP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lastRenderedPageBreak/>
              <w:t>106.21</w:t>
            </w:r>
          </w:p>
        </w:tc>
        <w:tc>
          <w:tcPr>
            <w:tcW w:w="4000" w:type="pct"/>
            <w:hideMark/>
          </w:tcPr>
          <w:p w:rsidR="006B1D96" w:rsidRDefault="00A3255E">
            <w:pPr>
              <w:rPr>
                <w:rFonts w:eastAsia="Times New Roman"/>
              </w:rPr>
            </w:pPr>
            <w:r>
              <w:rPr>
                <w:rFonts w:eastAsia="Times New Roman"/>
                <w:b/>
                <w:bCs/>
                <w:i/>
                <w:iCs/>
              </w:rPr>
              <w:t>Apprenticeship and Skills End of Year Performance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trPr>
                <w:tblCellSpacing w:w="15" w:type="dxa"/>
              </w:trPr>
              <w:tc>
                <w:tcPr>
                  <w:tcW w:w="0" w:type="auto"/>
                  <w:vAlign w:val="center"/>
                  <w:hideMark/>
                </w:tcPr>
                <w:p w:rsidR="006B1D96" w:rsidRDefault="00A3255E" w:rsidP="004A6751">
                  <w:pPr>
                    <w:pStyle w:val="NormalWeb"/>
                    <w:framePr w:hSpace="45" w:wrap="around" w:vAnchor="text" w:hAnchor="text"/>
                  </w:pPr>
                  <w:r>
                    <w:t>The report provided an overview and an update on key developments within Apprenticeships and Skills for 2020/2021.</w:t>
                  </w:r>
                </w:p>
                <w:p w:rsidR="00977D48" w:rsidRDefault="00A3255E" w:rsidP="004A6751">
                  <w:pPr>
                    <w:pStyle w:val="NormalWeb"/>
                    <w:framePr w:hSpace="45" w:wrap="around" w:vAnchor="text" w:hAnchor="text"/>
                  </w:pPr>
                  <w:r>
                    <w:rPr>
                      <w:rStyle w:val="Strong"/>
                    </w:rPr>
                    <w:t>Apprenticeship and Skills Report</w:t>
                  </w:r>
                  <w:r>
                    <w:t> - Overall and timely achievement for both the 16 to 18 age range and also 19 Plus students showed an increasing trend from the previous year. </w:t>
                  </w:r>
                </w:p>
                <w:p w:rsidR="00977D48" w:rsidRDefault="00A3255E" w:rsidP="004A6751">
                  <w:pPr>
                    <w:pStyle w:val="NormalWeb"/>
                    <w:framePr w:hSpace="45" w:wrap="around" w:vAnchor="text" w:hAnchor="text"/>
                  </w:pPr>
                  <w:r>
                    <w:br w:type="page"/>
                  </w:r>
                  <w:r>
                    <w:br w:type="page"/>
                    <w:t>Overall Achievement:</w:t>
                  </w:r>
                  <w:r>
                    <w:br w:type="page"/>
                  </w:r>
                </w:p>
                <w:p w:rsidR="00977D48" w:rsidRDefault="00A3255E" w:rsidP="004A6751">
                  <w:pPr>
                    <w:pStyle w:val="NormalWeb"/>
                    <w:framePr w:hSpace="45" w:wrap="around" w:vAnchor="text" w:hAnchor="text"/>
                    <w:spacing w:before="0" w:beforeAutospacing="0" w:after="0" w:afterAutospacing="0"/>
                  </w:pPr>
                  <w:r>
                    <w:t>16-18    63.5% (target 70.7%)</w:t>
                  </w:r>
                  <w:r>
                    <w:br w:type="page"/>
                  </w:r>
                </w:p>
                <w:p w:rsidR="00977D48" w:rsidRDefault="00A3255E" w:rsidP="004A6751">
                  <w:pPr>
                    <w:pStyle w:val="NormalWeb"/>
                    <w:framePr w:hSpace="45" w:wrap="around" w:vAnchor="text" w:hAnchor="text"/>
                    <w:spacing w:before="0" w:beforeAutospacing="0" w:after="0" w:afterAutospacing="0"/>
                  </w:pPr>
                  <w:r>
                    <w:t>19-23    76.2% (target 75.5%)</w:t>
                  </w:r>
                  <w:r>
                    <w:br w:type="page"/>
                  </w:r>
                </w:p>
                <w:p w:rsidR="00977D48" w:rsidRDefault="00A3255E" w:rsidP="004A6751">
                  <w:pPr>
                    <w:pStyle w:val="NormalWeb"/>
                    <w:framePr w:hSpace="45" w:wrap="around" w:vAnchor="text" w:hAnchor="text"/>
                    <w:spacing w:before="0" w:beforeAutospacing="0" w:after="0" w:afterAutospacing="0"/>
                  </w:pPr>
                  <w:r>
                    <w:t>24 plus</w:t>
                  </w:r>
                  <w:proofErr w:type="gramStart"/>
                  <w:r>
                    <w:t>  77.6</w:t>
                  </w:r>
                  <w:proofErr w:type="gramEnd"/>
                  <w:r>
                    <w:t>% (target 76.6%)</w:t>
                  </w:r>
                  <w:r>
                    <w:br w:type="page"/>
                  </w:r>
                </w:p>
                <w:p w:rsidR="00977D48" w:rsidRDefault="00A3255E" w:rsidP="004A6751">
                  <w:pPr>
                    <w:pStyle w:val="NormalWeb"/>
                    <w:framePr w:hSpace="45" w:wrap="around" w:vAnchor="text" w:hAnchor="text"/>
                    <w:spacing w:before="0" w:beforeAutospacing="0" w:after="0" w:afterAutospacing="0"/>
                  </w:pPr>
                  <w:r>
                    <w:t>Overall</w:t>
                  </w:r>
                  <w:proofErr w:type="gramStart"/>
                  <w:r>
                    <w:t>  73.0</w:t>
                  </w:r>
                  <w:proofErr w:type="gramEnd"/>
                  <w:r>
                    <w:t>% (target 74.2%)</w:t>
                  </w:r>
                </w:p>
                <w:p w:rsidR="00977D48" w:rsidRDefault="00977D48" w:rsidP="004A6751">
                  <w:pPr>
                    <w:pStyle w:val="NormalWeb"/>
                    <w:framePr w:hSpace="45" w:wrap="around" w:vAnchor="text" w:hAnchor="text"/>
                    <w:spacing w:before="0" w:beforeAutospacing="0" w:after="0" w:afterAutospacing="0"/>
                  </w:pPr>
                </w:p>
                <w:p w:rsidR="00977D48" w:rsidRDefault="00A3255E" w:rsidP="004A6751">
                  <w:pPr>
                    <w:pStyle w:val="NormalWeb"/>
                    <w:framePr w:hSpace="45" w:wrap="around" w:vAnchor="text" w:hAnchor="text"/>
                    <w:spacing w:before="0" w:beforeAutospacing="0" w:after="0" w:afterAutospacing="0"/>
                  </w:pPr>
                  <w:r>
                    <w:br w:type="page"/>
                  </w:r>
                  <w:r>
                    <w:br w:type="page"/>
                    <w:t xml:space="preserve">It was stressed that the impact of </w:t>
                  </w:r>
                  <w:proofErr w:type="spellStart"/>
                  <w:r>
                    <w:t>Covid</w:t>
                  </w:r>
                  <w:proofErr w:type="spellEnd"/>
                  <w:r>
                    <w:t xml:space="preserve"> and the lockdowns was reflected in these results.</w:t>
                  </w:r>
                  <w:r>
                    <w:br w:type="page"/>
                  </w:r>
                  <w:r>
                    <w:br w:type="page"/>
                  </w:r>
                </w:p>
                <w:p w:rsidR="00977D48" w:rsidRDefault="00977D48" w:rsidP="004A6751">
                  <w:pPr>
                    <w:pStyle w:val="NormalWeb"/>
                    <w:framePr w:hSpace="45" w:wrap="around" w:vAnchor="text" w:hAnchor="text"/>
                    <w:spacing w:before="0" w:beforeAutospacing="0" w:after="0" w:afterAutospacing="0"/>
                  </w:pPr>
                </w:p>
                <w:p w:rsidR="006B1D96" w:rsidRDefault="00A3255E" w:rsidP="004A6751">
                  <w:pPr>
                    <w:pStyle w:val="NormalWeb"/>
                    <w:framePr w:hSpace="45" w:wrap="around" w:vAnchor="text" w:hAnchor="text"/>
                    <w:spacing w:before="0" w:beforeAutospacing="0" w:after="0" w:afterAutospacing="0"/>
                  </w:pPr>
                  <w:r>
                    <w:t>Enrolments for the year were 416 against a target of 480.</w:t>
                  </w:r>
                  <w:r>
                    <w:rPr>
                      <w:rStyle w:val="Strong"/>
                    </w:rPr>
                    <w:t> </w:t>
                  </w:r>
                  <w:r>
                    <w:t>This enabled financial targets to be met due to more learners being recruited to Standards, which has a higher funding cap.</w:t>
                  </w:r>
                </w:p>
                <w:p w:rsidR="00977D48" w:rsidRDefault="00A3255E" w:rsidP="004A6751">
                  <w:pPr>
                    <w:pStyle w:val="NormalWeb"/>
                    <w:framePr w:hSpace="45" w:wrap="around" w:vAnchor="text" w:hAnchor="text"/>
                  </w:pPr>
                  <w:r>
                    <w:t>An action plan for 2021/2022 was included in the report.</w:t>
                  </w:r>
                  <w:r>
                    <w:br w:type="page"/>
                  </w:r>
                  <w:r>
                    <w:br w:type="page"/>
                  </w:r>
                </w:p>
                <w:p w:rsidR="00977D48" w:rsidRDefault="00A3255E" w:rsidP="004A6751">
                  <w:pPr>
                    <w:pStyle w:val="NormalWeb"/>
                    <w:framePr w:hSpace="45" w:wrap="around" w:vAnchor="text" w:hAnchor="text"/>
                    <w:rPr>
                      <w:b/>
                      <w:bCs/>
                    </w:rPr>
                  </w:pPr>
                  <w:r>
                    <w:rPr>
                      <w:rStyle w:val="Strong"/>
                    </w:rPr>
                    <w:t>Resolved:</w:t>
                  </w:r>
                  <w:r>
                    <w:rPr>
                      <w:b/>
                      <w:bCs/>
                    </w:rPr>
                    <w:br w:type="page"/>
                  </w:r>
                  <w:r>
                    <w:rPr>
                      <w:b/>
                      <w:bCs/>
                    </w:rPr>
                    <w:br w:type="page"/>
                  </w:r>
                </w:p>
                <w:p w:rsidR="006B1D96" w:rsidRDefault="00A3255E" w:rsidP="004A6751">
                  <w:pPr>
                    <w:pStyle w:val="NormalWeb"/>
                    <w:framePr w:hSpace="45" w:wrap="around" w:vAnchor="text" w:hAnchor="text"/>
                  </w:pPr>
                  <w:r>
                    <w:rPr>
                      <w:rStyle w:val="Strong"/>
                    </w:rPr>
                    <w:t>That the Apprenticeship and Skills Report for 2020/2021 be received.</w:t>
                  </w:r>
                  <w:r>
                    <w:rPr>
                      <w:b/>
                      <w:bCs/>
                    </w:rPr>
                    <w:br w:type="page"/>
                  </w:r>
                </w:p>
              </w:tc>
            </w:tr>
          </w:tbl>
          <w:p w:rsidR="006B1D96" w:rsidRDefault="006B1D96">
            <w:pPr>
              <w:rPr>
                <w:rFonts w:eastAsia="Times New Roman"/>
              </w:rPr>
            </w:pP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107.21</w:t>
            </w:r>
          </w:p>
        </w:tc>
        <w:tc>
          <w:tcPr>
            <w:tcW w:w="4000" w:type="pct"/>
            <w:hideMark/>
          </w:tcPr>
          <w:p w:rsidR="006B1D96" w:rsidRDefault="00A3255E">
            <w:pPr>
              <w:rPr>
                <w:rFonts w:eastAsia="Times New Roman"/>
              </w:rPr>
            </w:pPr>
            <w:r>
              <w:rPr>
                <w:rFonts w:eastAsia="Times New Roman"/>
                <w:b/>
                <w:bCs/>
                <w:i/>
                <w:iCs/>
              </w:rPr>
              <w:t>Further Education Destination Data</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p w:rsidR="00977D48" w:rsidRDefault="00A3255E">
            <w:pPr>
              <w:rPr>
                <w:rFonts w:eastAsia="Times New Roman"/>
              </w:rPr>
            </w:pPr>
            <w:r>
              <w:rPr>
                <w:rFonts w:eastAsia="Times New Roman"/>
              </w:rPr>
              <w:t>The Corporation considered a report on the destination of FE students at the end of the academic year 2020/2021.</w:t>
            </w:r>
          </w:p>
          <w:p w:rsidR="00977D48" w:rsidRDefault="00977D48">
            <w:pPr>
              <w:rPr>
                <w:rFonts w:eastAsia="Times New Roman"/>
              </w:rPr>
            </w:pPr>
          </w:p>
          <w:p w:rsidR="00977D48" w:rsidRDefault="00A3255E">
            <w:pPr>
              <w:rPr>
                <w:rFonts w:eastAsia="Times New Roman"/>
              </w:rPr>
            </w:pPr>
            <w:r>
              <w:rPr>
                <w:rFonts w:eastAsia="Times New Roman"/>
              </w:rPr>
              <w:br w:type="page"/>
            </w:r>
            <w:r>
              <w:rPr>
                <w:rFonts w:eastAsia="Times New Roman"/>
              </w:rPr>
              <w:br w:type="page"/>
              <w:t>66.5% of all learners reported a positive intended destination into education or employment.</w:t>
            </w:r>
            <w:r>
              <w:rPr>
                <w:rFonts w:eastAsia="Times New Roman"/>
              </w:rPr>
              <w:br w:type="page"/>
            </w:r>
            <w:r>
              <w:rPr>
                <w:rFonts w:eastAsia="Times New Roman"/>
              </w:rPr>
              <w:br w:type="page"/>
            </w:r>
          </w:p>
          <w:p w:rsidR="00977D48" w:rsidRDefault="00977D48">
            <w:pPr>
              <w:rPr>
                <w:rFonts w:eastAsia="Times New Roman"/>
              </w:rPr>
            </w:pPr>
          </w:p>
          <w:p w:rsidR="00977D48" w:rsidRDefault="00A3255E">
            <w:pPr>
              <w:rPr>
                <w:rFonts w:eastAsia="Times New Roman"/>
              </w:rPr>
            </w:pPr>
            <w:r>
              <w:rPr>
                <w:rFonts w:eastAsia="Times New Roman"/>
              </w:rPr>
              <w:t>The student satisfaction survey revealed that that 94% were satisfied with the range and levels of career advice they received.</w:t>
            </w:r>
          </w:p>
          <w:p w:rsidR="00977D48" w:rsidRDefault="00977D48">
            <w:pPr>
              <w:rPr>
                <w:rFonts w:eastAsia="Times New Roman"/>
              </w:rPr>
            </w:pPr>
          </w:p>
          <w:p w:rsidR="00977D48" w:rsidRDefault="00A3255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77D48" w:rsidRDefault="00977D48">
            <w:pPr>
              <w:rPr>
                <w:rFonts w:eastAsia="Times New Roman"/>
                <w:b/>
                <w:bCs/>
              </w:rPr>
            </w:pPr>
          </w:p>
          <w:p w:rsidR="006B1D96" w:rsidRDefault="00A3255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108.21</w:t>
            </w:r>
          </w:p>
        </w:tc>
        <w:tc>
          <w:tcPr>
            <w:tcW w:w="4000" w:type="pct"/>
            <w:hideMark/>
          </w:tcPr>
          <w:p w:rsidR="006B1D96" w:rsidRDefault="00A3255E">
            <w:pPr>
              <w:rPr>
                <w:rFonts w:eastAsia="Times New Roman"/>
              </w:rPr>
            </w:pPr>
            <w:r>
              <w:rPr>
                <w:rFonts w:eastAsia="Times New Roman"/>
                <w:b/>
                <w:bCs/>
                <w:i/>
                <w:iCs/>
              </w:rPr>
              <w:t>Learner Voice Report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lastRenderedPageBreak/>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rsidTr="00977D48">
              <w:trPr>
                <w:trHeight w:val="3005"/>
                <w:tblCellSpacing w:w="15" w:type="dxa"/>
              </w:trPr>
              <w:tc>
                <w:tcPr>
                  <w:tcW w:w="0" w:type="auto"/>
                  <w:vAlign w:val="center"/>
                  <w:hideMark/>
                </w:tcPr>
                <w:p w:rsidR="00977D48" w:rsidRDefault="00A3255E" w:rsidP="004A6751">
                  <w:pPr>
                    <w:pStyle w:val="NormalWeb"/>
                    <w:framePr w:hSpace="45" w:wrap="around" w:vAnchor="text" w:hAnchor="text"/>
                  </w:pPr>
                  <w:r>
                    <w:t>Corporation considered the Learner Voice Reports for 2020/2021. Results were collated via surveys, Course Representative meetings, Staff Awards – My Star, We Hear U and Myerscough Golden Roses. Results from learner feedback were used by the College to identify areas where student satisfaction was lower than the College felt was acceptable and would allow for action plans to be put in place to make improvements.</w:t>
                  </w:r>
                  <w:r>
                    <w:br w:type="page"/>
                  </w:r>
                  <w:r>
                    <w:br w:type="page"/>
                  </w:r>
                </w:p>
                <w:p w:rsidR="00977D48" w:rsidRDefault="00A3255E" w:rsidP="004A6751">
                  <w:pPr>
                    <w:pStyle w:val="NormalWeb"/>
                    <w:framePr w:hSpace="45" w:wrap="around" w:vAnchor="text" w:hAnchor="text"/>
                  </w:pPr>
                  <w:r>
                    <w:t>91% of FE students (response rate 82%) were prepared to recommend the College to others. Across the range of students those feeling safe in College ran into the high nineties.</w:t>
                  </w:r>
                  <w:r>
                    <w:br w:type="page"/>
                  </w:r>
                  <w:r>
                    <w:br w:type="page"/>
                  </w:r>
                </w:p>
                <w:p w:rsidR="00977D48" w:rsidRDefault="00A3255E" w:rsidP="004A6751">
                  <w:pPr>
                    <w:pStyle w:val="NormalWeb"/>
                    <w:framePr w:hSpace="45" w:wrap="around" w:vAnchor="text" w:hAnchor="text"/>
                  </w:pPr>
                  <w:r>
                    <w:t>Responses to the NSs survey placed Myerscough second amongst land based universities and colleges and with overall satisfaction at 82%.</w:t>
                  </w:r>
                </w:p>
                <w:p w:rsidR="00977D48" w:rsidRDefault="00A3255E" w:rsidP="004A6751">
                  <w:pPr>
                    <w:pStyle w:val="NormalWeb"/>
                    <w:framePr w:hSpace="45" w:wrap="around" w:vAnchor="text" w:hAnchor="text"/>
                    <w:spacing w:before="0" w:beforeAutospacing="0" w:after="0" w:afterAutospacing="0"/>
                  </w:pPr>
                  <w:r>
                    <w:br w:type="page"/>
                  </w:r>
                  <w:r>
                    <w:br w:type="page"/>
                    <w:t>Areas for improvement included the need to increase participation and engagement. </w:t>
                  </w:r>
                </w:p>
                <w:p w:rsidR="00977D48" w:rsidRDefault="00977D48" w:rsidP="004A6751">
                  <w:pPr>
                    <w:pStyle w:val="NormalWeb"/>
                    <w:framePr w:hSpace="45" w:wrap="around" w:vAnchor="text" w:hAnchor="text"/>
                    <w:spacing w:before="0" w:beforeAutospacing="0" w:after="0" w:afterAutospacing="0"/>
                  </w:pPr>
                </w:p>
              </w:tc>
            </w:tr>
          </w:tbl>
          <w:p w:rsidR="00977D48" w:rsidRDefault="00A3255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77D48" w:rsidRDefault="00977D48">
            <w:pPr>
              <w:rPr>
                <w:rFonts w:eastAsia="Times New Roman"/>
                <w:b/>
                <w:bCs/>
              </w:rPr>
            </w:pPr>
          </w:p>
          <w:p w:rsidR="006B1D96" w:rsidRDefault="00A3255E">
            <w:pPr>
              <w:rPr>
                <w:rFonts w:eastAsia="Times New Roman"/>
              </w:rPr>
            </w:pPr>
            <w:r>
              <w:rPr>
                <w:rStyle w:val="Strong"/>
                <w:rFonts w:eastAsia="Times New Roman"/>
              </w:rPr>
              <w:t>That the Learner Voice report be received.</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109.21</w:t>
            </w:r>
          </w:p>
        </w:tc>
        <w:tc>
          <w:tcPr>
            <w:tcW w:w="4000" w:type="pct"/>
            <w:hideMark/>
          </w:tcPr>
          <w:p w:rsidR="006B1D96" w:rsidRDefault="00A3255E">
            <w:pPr>
              <w:rPr>
                <w:rFonts w:eastAsia="Times New Roman"/>
              </w:rPr>
            </w:pPr>
            <w:r>
              <w:rPr>
                <w:rFonts w:eastAsia="Times New Roman"/>
                <w:b/>
                <w:bCs/>
                <w:i/>
                <w:iCs/>
              </w:rPr>
              <w:t>Employer Voice and Employer Engagement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trPr>
                <w:tblCellSpacing w:w="15" w:type="dxa"/>
              </w:trPr>
              <w:tc>
                <w:tcPr>
                  <w:tcW w:w="0" w:type="auto"/>
                  <w:vAlign w:val="center"/>
                  <w:hideMark/>
                </w:tcPr>
                <w:p w:rsidR="006B1D96" w:rsidRDefault="00A3255E" w:rsidP="004A6751">
                  <w:pPr>
                    <w:pStyle w:val="NormalWeb"/>
                    <w:framePr w:hSpace="45" w:wrap="around" w:vAnchor="text" w:hAnchor="text"/>
                  </w:pPr>
                  <w:r>
                    <w:t>The Employer Services Team (EST) acts as the focal point of contact for all employers who contact the College about Apprenticeships, Short Courses for both industry and leisure, plus any bespoke full cost provision and industry training partnership opportunities, including international delivery.</w:t>
                  </w:r>
                </w:p>
                <w:p w:rsidR="00977D48" w:rsidRDefault="00A3255E" w:rsidP="004A6751">
                  <w:pPr>
                    <w:pStyle w:val="NormalWeb"/>
                    <w:framePr w:hSpace="45" w:wrap="around" w:vAnchor="text" w:hAnchor="text"/>
                  </w:pPr>
                  <w:r>
                    <w:t>The report seeks to provide information on progress against set targets and areas of improvement. The EST provides intensive information, advice and guidance to employers looking to train existing staff or to recruit new apprentices into their business. Employer Satisfaction was 86%.</w:t>
                  </w:r>
                </w:p>
                <w:p w:rsidR="00977D48" w:rsidRDefault="00A3255E" w:rsidP="004A6751">
                  <w:pPr>
                    <w:pStyle w:val="NormalWeb"/>
                    <w:framePr w:hSpace="45" w:wrap="around" w:vAnchor="text" w:hAnchor="text"/>
                    <w:rPr>
                      <w:b/>
                      <w:bCs/>
                    </w:rPr>
                  </w:pPr>
                  <w:r>
                    <w:br w:type="page"/>
                  </w:r>
                  <w:r>
                    <w:br w:type="page"/>
                  </w:r>
                  <w:r>
                    <w:rPr>
                      <w:rStyle w:val="Strong"/>
                    </w:rPr>
                    <w:t>Resolved:</w:t>
                  </w:r>
                  <w:r>
                    <w:rPr>
                      <w:b/>
                      <w:bCs/>
                    </w:rPr>
                    <w:br w:type="page"/>
                  </w:r>
                  <w:r>
                    <w:rPr>
                      <w:b/>
                      <w:bCs/>
                    </w:rPr>
                    <w:br w:type="page"/>
                  </w:r>
                </w:p>
                <w:p w:rsidR="006B1D96" w:rsidRDefault="00A3255E" w:rsidP="004A6751">
                  <w:pPr>
                    <w:pStyle w:val="NormalWeb"/>
                    <w:framePr w:hSpace="45" w:wrap="around" w:vAnchor="text" w:hAnchor="text"/>
                  </w:pPr>
                  <w:r>
                    <w:rPr>
                      <w:rStyle w:val="Strong"/>
                    </w:rPr>
                    <w:t>That the Employer Voice and Employer Engagement Report 2020/2021 be received.</w:t>
                  </w:r>
                  <w:r>
                    <w:rPr>
                      <w:b/>
                      <w:bCs/>
                    </w:rPr>
                    <w:br w:type="page"/>
                  </w:r>
                </w:p>
              </w:tc>
            </w:tr>
          </w:tbl>
          <w:p w:rsidR="006B1D96" w:rsidRDefault="006B1D96">
            <w:pPr>
              <w:rPr>
                <w:rFonts w:eastAsia="Times New Roman"/>
              </w:rPr>
            </w:pP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110.21</w:t>
            </w:r>
          </w:p>
        </w:tc>
        <w:tc>
          <w:tcPr>
            <w:tcW w:w="4000" w:type="pct"/>
            <w:hideMark/>
          </w:tcPr>
          <w:p w:rsidR="006B1D96" w:rsidRDefault="00A3255E">
            <w:pPr>
              <w:rPr>
                <w:rFonts w:eastAsia="Times New Roman"/>
              </w:rPr>
            </w:pPr>
            <w:r>
              <w:rPr>
                <w:rFonts w:eastAsia="Times New Roman"/>
                <w:b/>
                <w:bCs/>
                <w:i/>
                <w:iCs/>
              </w:rPr>
              <w:t>Complaints and Appeals Annual Report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lastRenderedPageBreak/>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rsidTr="00977D48">
              <w:trPr>
                <w:trHeight w:val="2438"/>
                <w:tblCellSpacing w:w="15" w:type="dxa"/>
              </w:trPr>
              <w:tc>
                <w:tcPr>
                  <w:tcW w:w="0" w:type="auto"/>
                  <w:vAlign w:val="center"/>
                  <w:hideMark/>
                </w:tcPr>
                <w:p w:rsidR="006B1D96" w:rsidRDefault="00A3255E" w:rsidP="004A6751">
                  <w:pPr>
                    <w:pStyle w:val="NormalWeb"/>
                    <w:framePr w:hSpace="45" w:wrap="around" w:vAnchor="text" w:hAnchor="text"/>
                  </w:pPr>
                  <w:r>
                    <w:t>Corporation considered to the Annual Report on Complaints received by the College in 2020/2021.</w:t>
                  </w:r>
                </w:p>
                <w:p w:rsidR="006B1D96" w:rsidRDefault="00A3255E" w:rsidP="004A6751">
                  <w:pPr>
                    <w:pStyle w:val="NormalWeb"/>
                    <w:framePr w:hSpace="45" w:wrap="around" w:vAnchor="text" w:hAnchor="text"/>
                  </w:pPr>
                  <w:r>
                    <w:t xml:space="preserve">Analysis indicated varying types of complaint from diverse complainants. The report detailed the complaints received but indicated no significant areas as a cause for concern, although a number related to students in residential accommodation and the issue of no face to face teaching due to </w:t>
                  </w:r>
                  <w:proofErr w:type="spellStart"/>
                  <w:r>
                    <w:t>Covid</w:t>
                  </w:r>
                  <w:proofErr w:type="spellEnd"/>
                  <w:r>
                    <w:t>. Complaint outcomes and recommendations feed into College continuous improvement.</w:t>
                  </w:r>
                </w:p>
                <w:p w:rsidR="00977D48" w:rsidRDefault="00A3255E" w:rsidP="004A6751">
                  <w:pPr>
                    <w:pStyle w:val="NormalWeb"/>
                    <w:framePr w:hSpace="45" w:wrap="around" w:vAnchor="text" w:hAnchor="text"/>
                    <w:spacing w:before="0" w:beforeAutospacing="0" w:after="0" w:afterAutospacing="0"/>
                    <w:rPr>
                      <w:rStyle w:val="Strong"/>
                    </w:rPr>
                  </w:pPr>
                  <w:r>
                    <w:rPr>
                      <w:rStyle w:val="Strong"/>
                    </w:rPr>
                    <w:t>Resolved:</w:t>
                  </w:r>
                </w:p>
                <w:p w:rsidR="00977D48" w:rsidRDefault="00977D48" w:rsidP="004A6751">
                  <w:pPr>
                    <w:pStyle w:val="NormalWeb"/>
                    <w:framePr w:hSpace="45" w:wrap="around" w:vAnchor="text" w:hAnchor="text"/>
                    <w:spacing w:before="0" w:beforeAutospacing="0" w:after="0" w:afterAutospacing="0"/>
                  </w:pPr>
                </w:p>
              </w:tc>
            </w:tr>
          </w:tbl>
          <w:p w:rsidR="006B1D96" w:rsidRDefault="00A3255E">
            <w:pPr>
              <w:rPr>
                <w:rFonts w:eastAsia="Times New Roman"/>
              </w:rPr>
            </w:pPr>
            <w:r>
              <w:rPr>
                <w:rStyle w:val="Strong"/>
                <w:rFonts w:eastAsia="Times New Roman"/>
              </w:rPr>
              <w:t>That the Complaints Annual Report be received.</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111.21</w:t>
            </w:r>
          </w:p>
        </w:tc>
        <w:tc>
          <w:tcPr>
            <w:tcW w:w="4000" w:type="pct"/>
            <w:hideMark/>
          </w:tcPr>
          <w:p w:rsidR="006B1D96" w:rsidRDefault="00A3255E">
            <w:pPr>
              <w:rPr>
                <w:rFonts w:eastAsia="Times New Roman"/>
              </w:rPr>
            </w:pPr>
            <w:r>
              <w:rPr>
                <w:rFonts w:eastAsia="Times New Roman"/>
                <w:b/>
                <w:bCs/>
                <w:i/>
                <w:iCs/>
              </w:rPr>
              <w:t>CPD Annual Report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trPr>
                <w:tblCellSpacing w:w="15" w:type="dxa"/>
              </w:trPr>
              <w:tc>
                <w:tcPr>
                  <w:tcW w:w="0" w:type="auto"/>
                  <w:vAlign w:val="center"/>
                  <w:hideMark/>
                </w:tcPr>
                <w:p w:rsidR="006B1D96" w:rsidRDefault="00A3255E" w:rsidP="004A6751">
                  <w:pPr>
                    <w:pStyle w:val="NormalWeb"/>
                    <w:framePr w:hSpace="45" w:wrap="around" w:vAnchor="text" w:hAnchor="text"/>
                  </w:pPr>
                  <w:r>
                    <w:t>The report identified current strengths in the College's CPD processes as well as key areas for improvement to enhance those processes and systems. In summary:</w:t>
                  </w:r>
                </w:p>
                <w:p w:rsidR="006B1D96" w:rsidRDefault="00A3255E" w:rsidP="004A6751">
                  <w:pPr>
                    <w:pStyle w:val="NormalWeb"/>
                    <w:framePr w:hSpace="45" w:wrap="around" w:vAnchor="text" w:hAnchor="text"/>
                  </w:pPr>
                  <w:r>
                    <w:t>9,136 hours of CPD undertaken;</w:t>
                  </w:r>
                </w:p>
                <w:p w:rsidR="006B1D96" w:rsidRDefault="00A3255E" w:rsidP="004A6751">
                  <w:pPr>
                    <w:pStyle w:val="NormalWeb"/>
                    <w:framePr w:hSpace="45" w:wrap="around" w:vAnchor="text" w:hAnchor="text"/>
                  </w:pPr>
                  <w:r>
                    <w:t>799 staff accessed on-line CPD sessions;</w:t>
                  </w:r>
                </w:p>
                <w:p w:rsidR="006B1D96" w:rsidRDefault="00A3255E" w:rsidP="004A6751">
                  <w:pPr>
                    <w:pStyle w:val="NormalWeb"/>
                    <w:framePr w:hSpace="45" w:wrap="around" w:vAnchor="text" w:hAnchor="text"/>
                  </w:pPr>
                  <w:r>
                    <w:t>91% of budget allocated;</w:t>
                  </w:r>
                </w:p>
                <w:p w:rsidR="006B1D96" w:rsidRDefault="00A3255E" w:rsidP="004A6751">
                  <w:pPr>
                    <w:pStyle w:val="NormalWeb"/>
                    <w:framePr w:hSpace="45" w:wrap="around" w:vAnchor="text" w:hAnchor="text"/>
                  </w:pPr>
                  <w:r>
                    <w:t xml:space="preserve">The </w:t>
                  </w:r>
                  <w:proofErr w:type="spellStart"/>
                  <w:r>
                    <w:t>Covid</w:t>
                  </w:r>
                  <w:proofErr w:type="spellEnd"/>
                  <w:r>
                    <w:t xml:space="preserve"> restrictions resulted in many events transferring to on-line provision.</w:t>
                  </w:r>
                </w:p>
                <w:p w:rsidR="006B1D96" w:rsidRDefault="00A3255E" w:rsidP="004A6751">
                  <w:pPr>
                    <w:pStyle w:val="NormalWeb"/>
                    <w:framePr w:hSpace="45" w:wrap="around" w:vAnchor="text" w:hAnchor="text"/>
                  </w:pPr>
                  <w:r>
                    <w:t>Actions to take forward:</w:t>
                  </w:r>
                </w:p>
                <w:p w:rsidR="00977D48" w:rsidRDefault="00A3255E" w:rsidP="004A6751">
                  <w:pPr>
                    <w:pStyle w:val="NormalWeb"/>
                    <w:framePr w:hSpace="45" w:wrap="around" w:vAnchor="text" w:hAnchor="text"/>
                  </w:pPr>
                  <w:r>
                    <w:t>Move to more online training provision with a full review of systems and processes.</w:t>
                  </w:r>
                  <w:r>
                    <w:br w:type="page"/>
                  </w:r>
                  <w:r>
                    <w:br w:type="page"/>
                  </w:r>
                </w:p>
                <w:p w:rsidR="00977D48" w:rsidRDefault="00A3255E" w:rsidP="004A6751">
                  <w:pPr>
                    <w:pStyle w:val="NormalWeb"/>
                    <w:framePr w:hSpace="45" w:wrap="around" w:vAnchor="text" w:hAnchor="text"/>
                  </w:pPr>
                  <w:r>
                    <w:t>A Management Training programme for the College Management Team was developed during 2020/2021, in addition to a focus on Teaching and Learning and subject specific pedagogy.</w:t>
                  </w:r>
                </w:p>
                <w:p w:rsidR="00977D48" w:rsidRDefault="00A3255E" w:rsidP="004A6751">
                  <w:pPr>
                    <w:pStyle w:val="NormalWeb"/>
                    <w:framePr w:hSpace="45" w:wrap="around" w:vAnchor="text" w:hAnchor="text"/>
                    <w:spacing w:before="0" w:beforeAutospacing="0" w:after="0" w:afterAutospacing="0"/>
                  </w:pPr>
                  <w:r>
                    <w:br w:type="page"/>
                  </w:r>
                  <w:r>
                    <w:br w:type="page"/>
                  </w:r>
                  <w:r>
                    <w:rPr>
                      <w:rStyle w:val="Strong"/>
                    </w:rPr>
                    <w:t>Resolved:</w:t>
                  </w:r>
                </w:p>
              </w:tc>
            </w:tr>
          </w:tbl>
          <w:p w:rsidR="00977D48" w:rsidRDefault="00977D48">
            <w:pPr>
              <w:rPr>
                <w:rStyle w:val="Strong"/>
                <w:rFonts w:eastAsia="Times New Roman"/>
              </w:rPr>
            </w:pPr>
          </w:p>
          <w:p w:rsidR="006B1D96" w:rsidRDefault="00A3255E">
            <w:pPr>
              <w:rPr>
                <w:rFonts w:eastAsia="Times New Roman"/>
              </w:rPr>
            </w:pPr>
            <w:r>
              <w:rPr>
                <w:rStyle w:val="Strong"/>
                <w:rFonts w:eastAsia="Times New Roman"/>
              </w:rPr>
              <w:t>That the Continuing Professional Development - Annual Report for 2020/2021 be received.</w:t>
            </w:r>
            <w:r>
              <w:rPr>
                <w:rFonts w:eastAsia="Times New Roman"/>
                <w:b/>
                <w:bCs/>
              </w:rPr>
              <w:br w:type="page"/>
            </w:r>
            <w:r>
              <w:rPr>
                <w:rFonts w:eastAsia="Times New Roman"/>
                <w:b/>
                <w:bCs/>
              </w:rPr>
              <w:br w:type="page"/>
            </w: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t> </w:t>
            </w:r>
          </w:p>
        </w:tc>
      </w:tr>
      <w:tr w:rsidR="006B1D96">
        <w:trPr>
          <w:tblCellSpacing w:w="15" w:type="dxa"/>
        </w:trPr>
        <w:tc>
          <w:tcPr>
            <w:tcW w:w="1000" w:type="pct"/>
            <w:hideMark/>
          </w:tcPr>
          <w:p w:rsidR="006B1D96" w:rsidRDefault="00A3255E">
            <w:pPr>
              <w:rPr>
                <w:rFonts w:eastAsia="Times New Roman"/>
              </w:rPr>
            </w:pPr>
            <w:r>
              <w:rPr>
                <w:rFonts w:eastAsia="Times New Roman"/>
                <w:b/>
                <w:bCs/>
              </w:rPr>
              <w:t>112.21</w:t>
            </w:r>
          </w:p>
        </w:tc>
        <w:tc>
          <w:tcPr>
            <w:tcW w:w="4000" w:type="pct"/>
            <w:hideMark/>
          </w:tcPr>
          <w:p w:rsidR="006B1D96" w:rsidRDefault="00A3255E">
            <w:pPr>
              <w:rPr>
                <w:rFonts w:eastAsia="Times New Roman"/>
              </w:rPr>
            </w:pPr>
            <w:r>
              <w:rPr>
                <w:rFonts w:eastAsia="Times New Roman"/>
                <w:b/>
                <w:bCs/>
                <w:i/>
                <w:iCs/>
              </w:rPr>
              <w:t>Safeguarding Annual Report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trPr>
                <w:tblCellSpacing w:w="15" w:type="dxa"/>
              </w:trPr>
              <w:tc>
                <w:tcPr>
                  <w:tcW w:w="0" w:type="auto"/>
                  <w:vAlign w:val="center"/>
                  <w:hideMark/>
                </w:tcPr>
                <w:p w:rsidR="006B1D96" w:rsidRDefault="00A3255E" w:rsidP="004A6751">
                  <w:pPr>
                    <w:pStyle w:val="NormalWeb"/>
                    <w:framePr w:hSpace="45" w:wrap="around" w:vAnchor="text" w:hAnchor="text"/>
                  </w:pPr>
                  <w:r>
                    <w:t>Corporation considered the Annual Report on Safeguarding, including reference to Child Protection, PREVENT and Missing from Education.</w:t>
                  </w:r>
                </w:p>
                <w:p w:rsidR="00A82076" w:rsidRDefault="00A3255E" w:rsidP="004A6751">
                  <w:pPr>
                    <w:pStyle w:val="NormalWeb"/>
                    <w:framePr w:hSpace="45" w:wrap="around" w:vAnchor="text" w:hAnchor="text"/>
                  </w:pPr>
                  <w:r>
                    <w:lastRenderedPageBreak/>
                    <w:t>The Vice Principal gave an overview of the report and responded to questions and discussions. The annual report included a summary of activity and statistical data in key areas. A key strength of the College and the designated Safeguarding Steering Group was the regular review of legislation and its recommendations in order that stakeholders have confidence that the College is meeting its obligations in this area. </w:t>
                  </w:r>
                  <w:r>
                    <w:br w:type="page"/>
                  </w:r>
                  <w:r>
                    <w:br w:type="page"/>
                  </w:r>
                </w:p>
                <w:p w:rsidR="00A82076" w:rsidRDefault="00A3255E" w:rsidP="004A6751">
                  <w:pPr>
                    <w:pStyle w:val="NormalWeb"/>
                    <w:framePr w:hSpace="45" w:wrap="around" w:vAnchor="text" w:hAnchor="text"/>
                  </w:pPr>
                  <w:r>
                    <w:t>The Governors did express concern at the large increase in safeguarding alerts mentioned in the report and wished to be reassured that there were sufficient resources to deal with these and that the well-being of the staff concerned was being closely monitored.</w:t>
                  </w:r>
                  <w:r>
                    <w:br w:type="page"/>
                  </w:r>
                  <w:r>
                    <w:br w:type="page"/>
                  </w:r>
                </w:p>
                <w:p w:rsidR="00A82076" w:rsidRDefault="00A3255E" w:rsidP="004A6751">
                  <w:pPr>
                    <w:pStyle w:val="NormalWeb"/>
                    <w:framePr w:hSpace="45" w:wrap="around" w:vAnchor="text" w:hAnchor="text"/>
                    <w:rPr>
                      <w:b/>
                      <w:bCs/>
                    </w:rPr>
                  </w:pPr>
                  <w:r>
                    <w:rPr>
                      <w:rStyle w:val="Strong"/>
                    </w:rPr>
                    <w:t>Resolved:</w:t>
                  </w:r>
                  <w:r>
                    <w:rPr>
                      <w:b/>
                      <w:bCs/>
                    </w:rPr>
                    <w:br w:type="page"/>
                  </w:r>
                  <w:r>
                    <w:rPr>
                      <w:b/>
                      <w:bCs/>
                    </w:rPr>
                    <w:br w:type="page"/>
                  </w:r>
                </w:p>
                <w:p w:rsidR="006B1D96" w:rsidRDefault="00A3255E" w:rsidP="004A6751">
                  <w:pPr>
                    <w:pStyle w:val="NormalWeb"/>
                    <w:framePr w:hSpace="45" w:wrap="around" w:vAnchor="text" w:hAnchor="text"/>
                  </w:pPr>
                  <w:r>
                    <w:rPr>
                      <w:rStyle w:val="Strong"/>
                    </w:rPr>
                    <w:t>That the Safeguarding Annual Report for 2020/2021 be received.</w:t>
                  </w:r>
                  <w:r>
                    <w:rPr>
                      <w:b/>
                      <w:bCs/>
                    </w:rPr>
                    <w:br w:type="page"/>
                  </w:r>
                </w:p>
              </w:tc>
            </w:tr>
          </w:tbl>
          <w:p w:rsidR="006B1D96" w:rsidRDefault="006B1D96">
            <w:pPr>
              <w:rPr>
                <w:rFonts w:eastAsia="Times New Roman"/>
              </w:rPr>
            </w:pPr>
          </w:p>
        </w:tc>
      </w:tr>
      <w:tr w:rsidR="006B1D96">
        <w:trPr>
          <w:tblCellSpacing w:w="15" w:type="dxa"/>
        </w:trPr>
        <w:tc>
          <w:tcPr>
            <w:tcW w:w="5000" w:type="pct"/>
            <w:gridSpan w:val="2"/>
            <w:vAlign w:val="center"/>
            <w:hideMark/>
          </w:tcPr>
          <w:p w:rsidR="006B1D96" w:rsidRDefault="00A3255E">
            <w:pPr>
              <w:rPr>
                <w:rFonts w:eastAsia="Times New Roman"/>
              </w:rPr>
            </w:pPr>
            <w:r>
              <w:rPr>
                <w:rFonts w:eastAsia="Times New Roman"/>
              </w:rPr>
              <w:lastRenderedPageBreak/>
              <w:t> </w:t>
            </w:r>
          </w:p>
        </w:tc>
      </w:tr>
      <w:tr w:rsidR="006B1D96">
        <w:trPr>
          <w:tblCellSpacing w:w="15" w:type="dxa"/>
        </w:trPr>
        <w:tc>
          <w:tcPr>
            <w:tcW w:w="1000" w:type="pct"/>
            <w:hideMark/>
          </w:tcPr>
          <w:p w:rsidR="006B1D96" w:rsidRDefault="00A3255E">
            <w:pPr>
              <w:rPr>
                <w:rFonts w:eastAsia="Times New Roman"/>
              </w:rPr>
            </w:pPr>
            <w:r>
              <w:rPr>
                <w:rFonts w:eastAsia="Times New Roman"/>
                <w:b/>
                <w:bCs/>
              </w:rPr>
              <w:t>113.21</w:t>
            </w:r>
          </w:p>
        </w:tc>
        <w:tc>
          <w:tcPr>
            <w:tcW w:w="4000" w:type="pct"/>
            <w:hideMark/>
          </w:tcPr>
          <w:p w:rsidR="006B1D96" w:rsidRDefault="00A3255E">
            <w:pPr>
              <w:rPr>
                <w:rFonts w:eastAsia="Times New Roman"/>
              </w:rPr>
            </w:pPr>
            <w:r>
              <w:rPr>
                <w:rFonts w:eastAsia="Times New Roman"/>
                <w:b/>
                <w:bCs/>
                <w:i/>
                <w:iCs/>
              </w:rPr>
              <w:t>Human Resources Annual Report 2020/2021</w:t>
            </w:r>
          </w:p>
        </w:tc>
      </w:tr>
      <w:tr w:rsidR="006B1D96">
        <w:trPr>
          <w:tblCellSpacing w:w="15" w:type="dxa"/>
        </w:trPr>
        <w:tc>
          <w:tcPr>
            <w:tcW w:w="1000" w:type="pct"/>
            <w:hideMark/>
          </w:tcPr>
          <w:p w:rsidR="006B1D96" w:rsidRDefault="00A3255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B1D96">
              <w:trPr>
                <w:tblCellSpacing w:w="15" w:type="dxa"/>
              </w:trPr>
              <w:tc>
                <w:tcPr>
                  <w:tcW w:w="0" w:type="auto"/>
                  <w:vAlign w:val="center"/>
                  <w:hideMark/>
                </w:tcPr>
                <w:p w:rsidR="006B1D96" w:rsidRDefault="00A3255E" w:rsidP="004A6751">
                  <w:pPr>
                    <w:pStyle w:val="NormalWeb"/>
                    <w:framePr w:hSpace="45" w:wrap="around" w:vAnchor="text" w:hAnchor="text"/>
                  </w:pPr>
                  <w:r>
                    <w:t>Corporation considered the Human Resources Annual Report for 2019/2020.  The report provided an annual summary of matters reported to the Committee during the year and included further information and statistics concerning Human Resources over the same period.</w:t>
                  </w:r>
                </w:p>
                <w:p w:rsidR="006B1D96" w:rsidRDefault="00A3255E" w:rsidP="004A6751">
                  <w:pPr>
                    <w:pStyle w:val="NormalWeb"/>
                    <w:framePr w:hSpace="45" w:wrap="around" w:vAnchor="text" w:hAnchor="text"/>
                  </w:pPr>
                  <w:r>
                    <w:t xml:space="preserve">Staff turnover had decreased from 17.22% in 2019/2020 to </w:t>
                  </w:r>
                  <w:proofErr w:type="spellStart"/>
                  <w:r>
                    <w:t>to</w:t>
                  </w:r>
                  <w:proofErr w:type="spellEnd"/>
                  <w:r>
                    <w:t xml:space="preserve"> 11.9% for 2020/2021.</w:t>
                  </w:r>
                  <w:r>
                    <w:br w:type="page"/>
                  </w:r>
                  <w:r>
                    <w:br w:type="page"/>
                    <w:t>Staff sickness had reduced from 2.70% to 2.22% below a national average of 3%.</w:t>
                  </w:r>
                </w:p>
                <w:p w:rsidR="00A82076" w:rsidRDefault="00A3255E" w:rsidP="004A6751">
                  <w:pPr>
                    <w:pStyle w:val="NormalWeb"/>
                    <w:framePr w:hSpace="45" w:wrap="around" w:vAnchor="text" w:hAnchor="text"/>
                  </w:pPr>
                  <w:r>
                    <w:t>Corporation noted the strengths, targeted improvements and actions taken.  Corporation expressed satisfaction with the report.</w:t>
                  </w:r>
                </w:p>
                <w:p w:rsidR="00A82076" w:rsidRDefault="00A3255E" w:rsidP="004A6751">
                  <w:pPr>
                    <w:pStyle w:val="NormalWeb"/>
                    <w:framePr w:hSpace="45" w:wrap="around" w:vAnchor="text" w:hAnchor="text"/>
                    <w:rPr>
                      <w:b/>
                      <w:bCs/>
                    </w:rPr>
                  </w:pPr>
                  <w:r>
                    <w:br w:type="page"/>
                  </w:r>
                  <w:r>
                    <w:br w:type="page"/>
                  </w:r>
                  <w:r>
                    <w:rPr>
                      <w:rStyle w:val="Strong"/>
                    </w:rPr>
                    <w:t>Resolved:</w:t>
                  </w:r>
                  <w:r>
                    <w:rPr>
                      <w:b/>
                      <w:bCs/>
                    </w:rPr>
                    <w:br w:type="page"/>
                  </w:r>
                  <w:r>
                    <w:rPr>
                      <w:b/>
                      <w:bCs/>
                    </w:rPr>
                    <w:br w:type="page"/>
                  </w:r>
                </w:p>
                <w:p w:rsidR="006B1D96" w:rsidRDefault="00A3255E" w:rsidP="004A6751">
                  <w:pPr>
                    <w:pStyle w:val="NormalWeb"/>
                    <w:framePr w:hSpace="45" w:wrap="around" w:vAnchor="text" w:hAnchor="text"/>
                  </w:pPr>
                  <w:r>
                    <w:rPr>
                      <w:rStyle w:val="Strong"/>
                    </w:rPr>
                    <w:t>That the Human Resources Annual Report for 2020/2021 be received.</w:t>
                  </w:r>
                  <w:r>
                    <w:rPr>
                      <w:b/>
                      <w:bCs/>
                    </w:rPr>
                    <w:br w:type="page"/>
                  </w:r>
                </w:p>
              </w:tc>
            </w:tr>
          </w:tbl>
          <w:p w:rsidR="006B1D96" w:rsidRDefault="006B1D96">
            <w:pPr>
              <w:rPr>
                <w:rFonts w:eastAsia="Times New Roman"/>
              </w:rPr>
            </w:pPr>
          </w:p>
        </w:tc>
      </w:tr>
    </w:tbl>
    <w:tbl>
      <w:tblPr>
        <w:tblpPr w:leftFromText="45" w:rightFromText="45" w:vertAnchor="text" w:tblpX="-426"/>
        <w:tblW w:w="5236" w:type="pct"/>
        <w:tblCellSpacing w:w="15" w:type="dxa"/>
        <w:tblCellMar>
          <w:top w:w="15" w:type="dxa"/>
          <w:left w:w="15" w:type="dxa"/>
          <w:bottom w:w="15" w:type="dxa"/>
          <w:right w:w="15" w:type="dxa"/>
        </w:tblCellMar>
        <w:tblLook w:val="04A0" w:firstRow="1" w:lastRow="0" w:firstColumn="1" w:lastColumn="0" w:noHBand="0" w:noVBand="1"/>
      </w:tblPr>
      <w:tblGrid>
        <w:gridCol w:w="2241"/>
        <w:gridCol w:w="7211"/>
      </w:tblGrid>
      <w:tr w:rsidR="006B1D96" w:rsidTr="004A6751">
        <w:trPr>
          <w:tblCellSpacing w:w="15" w:type="dxa"/>
        </w:trPr>
        <w:tc>
          <w:tcPr>
            <w:tcW w:w="1165" w:type="pct"/>
          </w:tcPr>
          <w:p w:rsidR="006B1D96" w:rsidRDefault="006B1D96" w:rsidP="004A6751">
            <w:pPr>
              <w:rPr>
                <w:rFonts w:eastAsia="Times New Roman"/>
              </w:rPr>
            </w:pPr>
          </w:p>
        </w:tc>
        <w:tc>
          <w:tcPr>
            <w:tcW w:w="3788" w:type="pct"/>
          </w:tcPr>
          <w:p w:rsidR="006B1D96" w:rsidRDefault="006B1D96" w:rsidP="004A6751">
            <w:pPr>
              <w:rPr>
                <w:rFonts w:eastAsia="Times New Roman"/>
              </w:rPr>
            </w:pPr>
          </w:p>
        </w:tc>
      </w:tr>
      <w:tr w:rsidR="006B1D96" w:rsidTr="004A6751">
        <w:trPr>
          <w:tblCellSpacing w:w="15" w:type="dxa"/>
        </w:trPr>
        <w:tc>
          <w:tcPr>
            <w:tcW w:w="4968" w:type="pct"/>
            <w:gridSpan w:val="2"/>
            <w:vAlign w:val="center"/>
          </w:tcPr>
          <w:p w:rsidR="006B1D96" w:rsidRDefault="006B1D96" w:rsidP="004A6751">
            <w:pPr>
              <w:rPr>
                <w:rFonts w:eastAsia="Times New Roman"/>
              </w:rPr>
            </w:pPr>
          </w:p>
        </w:tc>
      </w:tr>
      <w:tr w:rsidR="006B1D96" w:rsidTr="004A6751">
        <w:trPr>
          <w:tblCellSpacing w:w="15" w:type="dxa"/>
        </w:trPr>
        <w:tc>
          <w:tcPr>
            <w:tcW w:w="1165" w:type="pct"/>
          </w:tcPr>
          <w:p w:rsidR="006B1D96" w:rsidRDefault="006B1D96" w:rsidP="004A6751">
            <w:pPr>
              <w:rPr>
                <w:rFonts w:eastAsia="Times New Roman"/>
              </w:rPr>
            </w:pPr>
          </w:p>
        </w:tc>
        <w:tc>
          <w:tcPr>
            <w:tcW w:w="3788" w:type="pct"/>
          </w:tcPr>
          <w:p w:rsidR="006B1D96" w:rsidRDefault="006B1D96" w:rsidP="004A6751">
            <w:pPr>
              <w:rPr>
                <w:rFonts w:eastAsia="Times New Roman"/>
              </w:rPr>
            </w:pPr>
          </w:p>
        </w:tc>
      </w:tr>
      <w:tr w:rsidR="006B1D96" w:rsidTr="004A6751">
        <w:trPr>
          <w:tblCellSpacing w:w="15" w:type="dxa"/>
        </w:trPr>
        <w:tc>
          <w:tcPr>
            <w:tcW w:w="1165" w:type="pct"/>
          </w:tcPr>
          <w:p w:rsidR="006B1D96" w:rsidRDefault="006B1D96" w:rsidP="004A6751">
            <w:pPr>
              <w:rPr>
                <w:rFonts w:eastAsia="Times New Roman"/>
              </w:rPr>
            </w:pPr>
          </w:p>
        </w:tc>
        <w:tc>
          <w:tcPr>
            <w:tcW w:w="3788" w:type="pct"/>
          </w:tcPr>
          <w:p w:rsidR="006B1D96" w:rsidRDefault="006B1D96" w:rsidP="004A6751">
            <w:pPr>
              <w:rPr>
                <w:rFonts w:eastAsia="Times New Roman"/>
              </w:rPr>
            </w:pPr>
          </w:p>
        </w:tc>
      </w:tr>
      <w:tr w:rsidR="006B1D96" w:rsidTr="004A6751">
        <w:trPr>
          <w:tblCellSpacing w:w="15" w:type="dxa"/>
        </w:trPr>
        <w:tc>
          <w:tcPr>
            <w:tcW w:w="4968" w:type="pct"/>
            <w:gridSpan w:val="2"/>
            <w:vAlign w:val="center"/>
          </w:tcPr>
          <w:p w:rsidR="006B1D96" w:rsidRDefault="006B1D96" w:rsidP="004A6751">
            <w:pPr>
              <w:rPr>
                <w:rFonts w:eastAsia="Times New Roman"/>
              </w:rPr>
            </w:pPr>
          </w:p>
        </w:tc>
      </w:tr>
      <w:tr w:rsidR="006B1D96" w:rsidTr="004A6751">
        <w:trPr>
          <w:tblCellSpacing w:w="15" w:type="dxa"/>
        </w:trPr>
        <w:tc>
          <w:tcPr>
            <w:tcW w:w="1165" w:type="pct"/>
          </w:tcPr>
          <w:p w:rsidR="006B1D96" w:rsidRDefault="006B1D96" w:rsidP="004A6751">
            <w:pPr>
              <w:rPr>
                <w:rFonts w:eastAsia="Times New Roman"/>
              </w:rPr>
            </w:pPr>
          </w:p>
        </w:tc>
        <w:tc>
          <w:tcPr>
            <w:tcW w:w="3788" w:type="pct"/>
          </w:tcPr>
          <w:p w:rsidR="006B1D96" w:rsidRDefault="006B1D96" w:rsidP="004A6751">
            <w:pPr>
              <w:rPr>
                <w:rFonts w:eastAsia="Times New Roman"/>
              </w:rPr>
            </w:pPr>
          </w:p>
        </w:tc>
      </w:tr>
      <w:tr w:rsidR="006B1D96" w:rsidTr="004A6751">
        <w:trPr>
          <w:tblCellSpacing w:w="15" w:type="dxa"/>
        </w:trPr>
        <w:tc>
          <w:tcPr>
            <w:tcW w:w="1165" w:type="pct"/>
          </w:tcPr>
          <w:p w:rsidR="006B1D96" w:rsidRDefault="006B1D96" w:rsidP="004A6751">
            <w:pPr>
              <w:rPr>
                <w:rFonts w:eastAsia="Times New Roman"/>
              </w:rPr>
            </w:pPr>
          </w:p>
        </w:tc>
        <w:tc>
          <w:tcPr>
            <w:tcW w:w="3788" w:type="pct"/>
          </w:tcPr>
          <w:p w:rsidR="006B1D96" w:rsidRDefault="006B1D96" w:rsidP="004A6751">
            <w:pPr>
              <w:rPr>
                <w:rFonts w:eastAsia="Times New Roman"/>
              </w:rPr>
            </w:pPr>
          </w:p>
        </w:tc>
      </w:tr>
    </w:tbl>
    <w:p w:rsidR="006B1D96" w:rsidRDefault="006B1D96">
      <w:pPr>
        <w:pStyle w:val="NormalWeb"/>
        <w:pageBreakBefore/>
        <w:spacing w:before="0" w:beforeAutospacing="0" w:after="0" w:afterAutospacing="0"/>
        <w:rPr>
          <w:vanish/>
        </w:rPr>
      </w:pPr>
    </w:p>
    <w:p w:rsidR="004A6751" w:rsidRDefault="004A6751">
      <w:pPr>
        <w:pStyle w:val="NormalWeb"/>
        <w:pageBreakBefore/>
        <w:spacing w:before="0" w:beforeAutospacing="0" w:after="0" w:afterAutospacing="0"/>
        <w:rPr>
          <w:vanish/>
        </w:rPr>
      </w:pPr>
    </w:p>
    <w:sectPr w:rsidR="004A6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F5"/>
    <w:rsid w:val="004A6751"/>
    <w:rsid w:val="006B1D96"/>
    <w:rsid w:val="00977D48"/>
    <w:rsid w:val="00A3255E"/>
    <w:rsid w:val="00A82076"/>
    <w:rsid w:val="00AE7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06BAC-5521-4708-A2BC-A1BF9043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0281">
      <w:marLeft w:val="0"/>
      <w:marRight w:val="0"/>
      <w:marTop w:val="0"/>
      <w:marBottom w:val="0"/>
      <w:divBdr>
        <w:top w:val="none" w:sz="0" w:space="0" w:color="auto"/>
        <w:left w:val="none" w:sz="0" w:space="0" w:color="auto"/>
        <w:bottom w:val="none" w:sz="0" w:space="0" w:color="auto"/>
        <w:right w:val="none" w:sz="0" w:space="0" w:color="auto"/>
      </w:divBdr>
    </w:div>
    <w:div w:id="376592867">
      <w:marLeft w:val="0"/>
      <w:marRight w:val="0"/>
      <w:marTop w:val="0"/>
      <w:marBottom w:val="0"/>
      <w:divBdr>
        <w:top w:val="none" w:sz="0" w:space="0" w:color="auto"/>
        <w:left w:val="none" w:sz="0" w:space="0" w:color="auto"/>
        <w:bottom w:val="none" w:sz="0" w:space="0" w:color="auto"/>
        <w:right w:val="none" w:sz="0" w:space="0" w:color="auto"/>
      </w:divBdr>
    </w:div>
    <w:div w:id="699014235">
      <w:marLeft w:val="0"/>
      <w:marRight w:val="0"/>
      <w:marTop w:val="0"/>
      <w:marBottom w:val="0"/>
      <w:divBdr>
        <w:top w:val="none" w:sz="0" w:space="0" w:color="auto"/>
        <w:left w:val="none" w:sz="0" w:space="0" w:color="auto"/>
        <w:bottom w:val="none" w:sz="0" w:space="0" w:color="auto"/>
        <w:right w:val="none" w:sz="0" w:space="0" w:color="auto"/>
      </w:divBdr>
    </w:div>
    <w:div w:id="1597860225">
      <w:marLeft w:val="0"/>
      <w:marRight w:val="0"/>
      <w:marTop w:val="0"/>
      <w:marBottom w:val="0"/>
      <w:divBdr>
        <w:top w:val="none" w:sz="0" w:space="0" w:color="auto"/>
        <w:left w:val="none" w:sz="0" w:space="0" w:color="auto"/>
        <w:bottom w:val="none" w:sz="0" w:space="0" w:color="auto"/>
        <w:right w:val="none" w:sz="0" w:space="0" w:color="auto"/>
      </w:divBdr>
    </w:div>
    <w:div w:id="178634107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cp:lastPrinted>2021-11-17T11:25:00Z</cp:lastPrinted>
  <dcterms:created xsi:type="dcterms:W3CDTF">2022-01-25T16:30:00Z</dcterms:created>
  <dcterms:modified xsi:type="dcterms:W3CDTF">2022-01-25T16:30:00Z</dcterms:modified>
</cp:coreProperties>
</file>