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13392C">
        <w:trPr>
          <w:tblCellSpacing w:w="15" w:type="dxa"/>
        </w:trPr>
        <w:tc>
          <w:tcPr>
            <w:tcW w:w="5000" w:type="pct"/>
            <w:gridSpan w:val="7"/>
            <w:shd w:val="clear" w:color="auto" w:fill="FF9263"/>
            <w:vAlign w:val="center"/>
            <w:hideMark/>
          </w:tcPr>
          <w:p w:rsidR="0013392C" w:rsidRDefault="00775CB0">
            <w:pPr>
              <w:jc w:val="center"/>
              <w:rPr>
                <w:rFonts w:eastAsia="Times New Roman"/>
                <w:color w:val="000000"/>
              </w:rPr>
            </w:pPr>
            <w:r>
              <w:rPr>
                <w:rFonts w:eastAsia="Times New Roman"/>
                <w:b/>
                <w:bCs/>
                <w:color w:val="000000"/>
              </w:rPr>
              <w:t>MINUTES</w:t>
            </w:r>
          </w:p>
        </w:tc>
      </w:tr>
      <w:tr w:rsidR="0013392C">
        <w:trPr>
          <w:tblCellSpacing w:w="15" w:type="dxa"/>
        </w:trPr>
        <w:tc>
          <w:tcPr>
            <w:tcW w:w="5000" w:type="pct"/>
            <w:gridSpan w:val="7"/>
            <w:tcBorders>
              <w:bottom w:val="nil"/>
            </w:tcBorders>
            <w:shd w:val="clear" w:color="auto" w:fill="FF9263"/>
            <w:vAlign w:val="center"/>
            <w:hideMark/>
          </w:tcPr>
          <w:p w:rsidR="0013392C" w:rsidRDefault="00775CB0">
            <w:pPr>
              <w:rPr>
                <w:rFonts w:eastAsia="Times New Roman"/>
              </w:rPr>
            </w:pPr>
            <w:r>
              <w:rPr>
                <w:rFonts w:eastAsia="Times New Roman"/>
              </w:rPr>
              <w:t> </w:t>
            </w:r>
          </w:p>
        </w:tc>
      </w:tr>
      <w:tr w:rsidR="0013392C">
        <w:trPr>
          <w:tblCellSpacing w:w="15" w:type="dxa"/>
        </w:trPr>
        <w:tc>
          <w:tcPr>
            <w:tcW w:w="5000" w:type="pct"/>
            <w:gridSpan w:val="7"/>
            <w:shd w:val="clear" w:color="auto" w:fill="FF9263"/>
            <w:hideMark/>
          </w:tcPr>
          <w:p w:rsidR="0013392C" w:rsidRDefault="00775CB0">
            <w:pPr>
              <w:jc w:val="center"/>
              <w:rPr>
                <w:rFonts w:eastAsia="Times New Roman"/>
                <w:color w:val="000000"/>
              </w:rPr>
            </w:pPr>
            <w:r>
              <w:rPr>
                <w:rFonts w:eastAsia="Times New Roman"/>
                <w:i/>
                <w:iCs/>
                <w:color w:val="000000"/>
              </w:rPr>
              <w:t>Finance and Resources Committee No 34</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Date:</w:t>
            </w:r>
          </w:p>
        </w:tc>
        <w:tc>
          <w:tcPr>
            <w:tcW w:w="50" w:type="pct"/>
            <w:vAlign w:val="center"/>
            <w:hideMark/>
          </w:tcPr>
          <w:p w:rsidR="0013392C" w:rsidRDefault="00775CB0">
            <w:pPr>
              <w:rPr>
                <w:rFonts w:eastAsia="Times New Roman"/>
              </w:rPr>
            </w:pPr>
            <w:r>
              <w:rPr>
                <w:rFonts w:eastAsia="Times New Roman"/>
              </w:rPr>
              <w:t> </w:t>
            </w:r>
          </w:p>
        </w:tc>
        <w:tc>
          <w:tcPr>
            <w:tcW w:w="1750" w:type="pct"/>
            <w:hideMark/>
          </w:tcPr>
          <w:p w:rsidR="0013392C" w:rsidRDefault="00775CB0">
            <w:pPr>
              <w:rPr>
                <w:rFonts w:eastAsia="Times New Roman"/>
              </w:rPr>
            </w:pPr>
            <w:r>
              <w:rPr>
                <w:rFonts w:eastAsia="Times New Roman"/>
                <w:i/>
                <w:iCs/>
              </w:rPr>
              <w:t>09/03/2021 (Tuesday)</w:t>
            </w:r>
          </w:p>
        </w:tc>
        <w:tc>
          <w:tcPr>
            <w:tcW w:w="100" w:type="pct"/>
            <w:vAlign w:val="center"/>
            <w:hideMark/>
          </w:tcPr>
          <w:p w:rsidR="0013392C" w:rsidRDefault="00775CB0">
            <w:pPr>
              <w:rPr>
                <w:rFonts w:eastAsia="Times New Roman"/>
              </w:rPr>
            </w:pPr>
            <w:r>
              <w:rPr>
                <w:rFonts w:eastAsia="Times New Roman"/>
              </w:rPr>
              <w:t> </w:t>
            </w:r>
          </w:p>
        </w:tc>
        <w:tc>
          <w:tcPr>
            <w:tcW w:w="500" w:type="pct"/>
            <w:hideMark/>
          </w:tcPr>
          <w:p w:rsidR="0013392C" w:rsidRDefault="00775CB0">
            <w:pPr>
              <w:jc w:val="right"/>
              <w:rPr>
                <w:rFonts w:eastAsia="Times New Roman"/>
              </w:rPr>
            </w:pPr>
            <w:r>
              <w:rPr>
                <w:rFonts w:eastAsia="Times New Roman"/>
              </w:rPr>
              <w:t>Time:</w:t>
            </w:r>
          </w:p>
        </w:tc>
        <w:tc>
          <w:tcPr>
            <w:tcW w:w="50" w:type="pct"/>
            <w:vAlign w:val="center"/>
            <w:hideMark/>
          </w:tcPr>
          <w:p w:rsidR="0013392C" w:rsidRDefault="00775CB0">
            <w:pPr>
              <w:rPr>
                <w:rFonts w:eastAsia="Times New Roman"/>
              </w:rPr>
            </w:pPr>
            <w:r>
              <w:rPr>
                <w:rFonts w:eastAsia="Times New Roman"/>
              </w:rPr>
              <w:t> </w:t>
            </w:r>
          </w:p>
        </w:tc>
        <w:tc>
          <w:tcPr>
            <w:tcW w:w="1750" w:type="pct"/>
            <w:hideMark/>
          </w:tcPr>
          <w:p w:rsidR="0013392C" w:rsidRDefault="00775CB0">
            <w:pPr>
              <w:rPr>
                <w:rFonts w:eastAsia="Times New Roman"/>
              </w:rPr>
            </w:pPr>
            <w:r>
              <w:rPr>
                <w:rFonts w:eastAsia="Times New Roman"/>
                <w:i/>
                <w:iCs/>
              </w:rPr>
              <w:t>18:00–20:00</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Venue:</w:t>
            </w:r>
          </w:p>
        </w:tc>
        <w:tc>
          <w:tcPr>
            <w:tcW w:w="50" w:type="pct"/>
            <w:vAlign w:val="center"/>
            <w:hideMark/>
          </w:tcPr>
          <w:p w:rsidR="0013392C" w:rsidRDefault="00775CB0">
            <w:pPr>
              <w:rPr>
                <w:rFonts w:eastAsia="Times New Roman"/>
              </w:rPr>
            </w:pPr>
            <w:r>
              <w:rPr>
                <w:rFonts w:eastAsia="Times New Roman"/>
              </w:rPr>
              <w:t> </w:t>
            </w:r>
          </w:p>
        </w:tc>
        <w:tc>
          <w:tcPr>
            <w:tcW w:w="1750" w:type="pct"/>
            <w:hideMark/>
          </w:tcPr>
          <w:p w:rsidR="0013392C" w:rsidRDefault="00775CB0">
            <w:pPr>
              <w:rPr>
                <w:rFonts w:eastAsia="Times New Roman"/>
              </w:rPr>
            </w:pPr>
            <w:r>
              <w:rPr>
                <w:rFonts w:eastAsia="Times New Roman"/>
                <w:i/>
                <w:iCs/>
              </w:rPr>
              <w:t>Via Teams</w:t>
            </w:r>
          </w:p>
        </w:tc>
        <w:tc>
          <w:tcPr>
            <w:tcW w:w="100" w:type="pct"/>
            <w:vAlign w:val="center"/>
            <w:hideMark/>
          </w:tcPr>
          <w:p w:rsidR="0013392C" w:rsidRDefault="00775CB0">
            <w:pPr>
              <w:rPr>
                <w:rFonts w:eastAsia="Times New Roman"/>
              </w:rPr>
            </w:pPr>
            <w:r>
              <w:rPr>
                <w:rFonts w:eastAsia="Times New Roman"/>
              </w:rPr>
              <w:t> </w:t>
            </w:r>
          </w:p>
        </w:tc>
        <w:tc>
          <w:tcPr>
            <w:tcW w:w="500" w:type="pct"/>
            <w:hideMark/>
          </w:tcPr>
          <w:p w:rsidR="0013392C" w:rsidRDefault="00775CB0">
            <w:pPr>
              <w:jc w:val="right"/>
              <w:rPr>
                <w:rFonts w:eastAsia="Times New Roman"/>
              </w:rPr>
            </w:pPr>
            <w:r>
              <w:rPr>
                <w:rFonts w:eastAsia="Times New Roman"/>
              </w:rPr>
              <w:t>Committee:</w:t>
            </w:r>
          </w:p>
        </w:tc>
        <w:tc>
          <w:tcPr>
            <w:tcW w:w="50" w:type="pct"/>
            <w:vAlign w:val="center"/>
            <w:hideMark/>
          </w:tcPr>
          <w:p w:rsidR="0013392C" w:rsidRDefault="00775CB0">
            <w:pPr>
              <w:rPr>
                <w:rFonts w:eastAsia="Times New Roman"/>
              </w:rPr>
            </w:pPr>
            <w:r>
              <w:rPr>
                <w:rFonts w:eastAsia="Times New Roman"/>
              </w:rPr>
              <w:t> </w:t>
            </w:r>
          </w:p>
        </w:tc>
        <w:tc>
          <w:tcPr>
            <w:tcW w:w="1750" w:type="pct"/>
            <w:hideMark/>
          </w:tcPr>
          <w:p w:rsidR="0013392C" w:rsidRDefault="00775CB0">
            <w:pPr>
              <w:rPr>
                <w:rFonts w:eastAsia="Times New Roman"/>
              </w:rPr>
            </w:pPr>
            <w:r>
              <w:rPr>
                <w:rFonts w:eastAsia="Times New Roman"/>
                <w:i/>
                <w:iCs/>
              </w:rPr>
              <w:t>Finance and Resources</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Notes:</w:t>
            </w:r>
          </w:p>
        </w:tc>
        <w:tc>
          <w:tcPr>
            <w:tcW w:w="50" w:type="pct"/>
            <w:vAlign w:val="center"/>
            <w:hideMark/>
          </w:tcPr>
          <w:p w:rsidR="0013392C" w:rsidRDefault="00775CB0">
            <w:pPr>
              <w:rPr>
                <w:rFonts w:eastAsia="Times New Roman"/>
              </w:rPr>
            </w:pPr>
            <w:r>
              <w:rPr>
                <w:rFonts w:eastAsia="Times New Roman"/>
              </w:rPr>
              <w:t> </w:t>
            </w:r>
          </w:p>
        </w:tc>
        <w:tc>
          <w:tcPr>
            <w:tcW w:w="2700" w:type="pct"/>
            <w:gridSpan w:val="5"/>
            <w:hideMark/>
          </w:tcPr>
          <w:p w:rsidR="0013392C" w:rsidRDefault="00775CB0">
            <w:pPr>
              <w:rPr>
                <w:rFonts w:eastAsia="Times New Roman"/>
              </w:rPr>
            </w:pPr>
            <w:r>
              <w:rPr>
                <w:rFonts w:eastAsia="Times New Roman"/>
                <w:i/>
                <w:iCs/>
              </w:rPr>
              <w:t>The meeting will be held via video conference</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Present:</w:t>
            </w:r>
          </w:p>
        </w:tc>
        <w:tc>
          <w:tcPr>
            <w:tcW w:w="50" w:type="pct"/>
            <w:vAlign w:val="center"/>
            <w:hideMark/>
          </w:tcPr>
          <w:p w:rsidR="0013392C" w:rsidRDefault="00775CB0">
            <w:pPr>
              <w:rPr>
                <w:rFonts w:eastAsia="Times New Roman"/>
              </w:rPr>
            </w:pPr>
            <w:r>
              <w:rPr>
                <w:rFonts w:eastAsia="Times New Roman"/>
              </w:rPr>
              <w:t> </w:t>
            </w:r>
          </w:p>
        </w:tc>
        <w:tc>
          <w:tcPr>
            <w:tcW w:w="2700" w:type="pct"/>
            <w:gridSpan w:val="5"/>
            <w:hideMark/>
          </w:tcPr>
          <w:p w:rsidR="0013392C" w:rsidRDefault="00775CB0">
            <w:pPr>
              <w:rPr>
                <w:rFonts w:eastAsia="Times New Roman"/>
              </w:rPr>
            </w:pPr>
            <w:r>
              <w:rPr>
                <w:rFonts w:eastAsia="Times New Roman"/>
                <w:i/>
                <w:iCs/>
              </w:rPr>
              <w:t xml:space="preserve">Alison Robinson (Principal), Clare James, </w:t>
            </w:r>
            <w:proofErr w:type="spellStart"/>
            <w:r>
              <w:rPr>
                <w:rFonts w:eastAsia="Times New Roman"/>
                <w:i/>
                <w:iCs/>
              </w:rPr>
              <w:t>Rafik</w:t>
            </w:r>
            <w:proofErr w:type="spellEnd"/>
            <w:r>
              <w:rPr>
                <w:rFonts w:eastAsia="Times New Roman"/>
                <w:i/>
                <w:iCs/>
              </w:rPr>
              <w:t xml:space="preserve"> Adam and Sue </w:t>
            </w:r>
            <w:proofErr w:type="spellStart"/>
            <w:r>
              <w:rPr>
                <w:rFonts w:eastAsia="Times New Roman"/>
                <w:i/>
                <w:iCs/>
              </w:rPr>
              <w:t>Collinge</w:t>
            </w:r>
            <w:proofErr w:type="spellEnd"/>
            <w:r>
              <w:rPr>
                <w:rFonts w:eastAsia="Times New Roman"/>
                <w:i/>
                <w:iCs/>
              </w:rPr>
              <w:t xml:space="preserve"> (Chair)</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Attending:</w:t>
            </w:r>
          </w:p>
        </w:tc>
        <w:tc>
          <w:tcPr>
            <w:tcW w:w="50" w:type="pct"/>
            <w:vAlign w:val="center"/>
            <w:hideMark/>
          </w:tcPr>
          <w:p w:rsidR="0013392C" w:rsidRDefault="00775CB0">
            <w:pPr>
              <w:rPr>
                <w:rFonts w:eastAsia="Times New Roman"/>
              </w:rPr>
            </w:pPr>
            <w:r>
              <w:rPr>
                <w:rFonts w:eastAsia="Times New Roman"/>
              </w:rPr>
              <w:t> </w:t>
            </w:r>
          </w:p>
        </w:tc>
        <w:tc>
          <w:tcPr>
            <w:tcW w:w="2700" w:type="pct"/>
            <w:gridSpan w:val="5"/>
            <w:hideMark/>
          </w:tcPr>
          <w:p w:rsidR="0013392C" w:rsidRDefault="00775CB0">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Clerks:</w:t>
            </w:r>
          </w:p>
        </w:tc>
        <w:tc>
          <w:tcPr>
            <w:tcW w:w="50" w:type="pct"/>
            <w:vAlign w:val="center"/>
            <w:hideMark/>
          </w:tcPr>
          <w:p w:rsidR="0013392C" w:rsidRDefault="00775CB0">
            <w:pPr>
              <w:rPr>
                <w:rFonts w:eastAsia="Times New Roman"/>
              </w:rPr>
            </w:pPr>
            <w:r>
              <w:rPr>
                <w:rFonts w:eastAsia="Times New Roman"/>
              </w:rPr>
              <w:t> </w:t>
            </w:r>
          </w:p>
        </w:tc>
        <w:tc>
          <w:tcPr>
            <w:tcW w:w="2700" w:type="pct"/>
            <w:gridSpan w:val="5"/>
            <w:hideMark/>
          </w:tcPr>
          <w:p w:rsidR="0013392C" w:rsidRDefault="00775CB0">
            <w:pPr>
              <w:rPr>
                <w:rFonts w:eastAsia="Times New Roman"/>
              </w:rPr>
            </w:pPr>
            <w:r>
              <w:rPr>
                <w:rFonts w:eastAsia="Times New Roman"/>
                <w:i/>
                <w:iCs/>
              </w:rPr>
              <w:t>Ron Matthews (Clerk)</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Guests:</w:t>
            </w:r>
          </w:p>
        </w:tc>
        <w:tc>
          <w:tcPr>
            <w:tcW w:w="50" w:type="pct"/>
            <w:vAlign w:val="center"/>
            <w:hideMark/>
          </w:tcPr>
          <w:p w:rsidR="0013392C" w:rsidRDefault="00775CB0">
            <w:pPr>
              <w:rPr>
                <w:rFonts w:eastAsia="Times New Roman"/>
              </w:rPr>
            </w:pPr>
            <w:r>
              <w:rPr>
                <w:rFonts w:eastAsia="Times New Roman"/>
              </w:rPr>
              <w:t> </w:t>
            </w:r>
          </w:p>
        </w:tc>
        <w:tc>
          <w:tcPr>
            <w:tcW w:w="2700" w:type="pct"/>
            <w:gridSpan w:val="5"/>
            <w:hideMark/>
          </w:tcPr>
          <w:p w:rsidR="0013392C" w:rsidRDefault="00775CB0">
            <w:pPr>
              <w:rPr>
                <w:rFonts w:eastAsia="Times New Roman"/>
              </w:rPr>
            </w:pPr>
            <w:r>
              <w:rPr>
                <w:rFonts w:eastAsia="Times New Roman"/>
                <w:i/>
                <w:iCs/>
              </w:rPr>
              <w:t>Allan Foster</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r w:rsidR="0013392C">
        <w:trPr>
          <w:tblCellSpacing w:w="15" w:type="dxa"/>
        </w:trPr>
        <w:tc>
          <w:tcPr>
            <w:tcW w:w="500" w:type="pct"/>
            <w:hideMark/>
          </w:tcPr>
          <w:p w:rsidR="0013392C" w:rsidRDefault="00775CB0">
            <w:pPr>
              <w:jc w:val="right"/>
              <w:rPr>
                <w:rFonts w:eastAsia="Times New Roman"/>
              </w:rPr>
            </w:pPr>
            <w:r>
              <w:rPr>
                <w:rFonts w:eastAsia="Times New Roman"/>
              </w:rPr>
              <w:t>Apologies:</w:t>
            </w:r>
          </w:p>
        </w:tc>
        <w:tc>
          <w:tcPr>
            <w:tcW w:w="50" w:type="pct"/>
            <w:vAlign w:val="center"/>
            <w:hideMark/>
          </w:tcPr>
          <w:p w:rsidR="0013392C" w:rsidRDefault="00775CB0">
            <w:pPr>
              <w:rPr>
                <w:rFonts w:eastAsia="Times New Roman"/>
              </w:rPr>
            </w:pPr>
            <w:r>
              <w:rPr>
                <w:rFonts w:eastAsia="Times New Roman"/>
              </w:rPr>
              <w:t> </w:t>
            </w:r>
          </w:p>
        </w:tc>
        <w:tc>
          <w:tcPr>
            <w:tcW w:w="2700" w:type="pct"/>
            <w:gridSpan w:val="5"/>
            <w:hideMark/>
          </w:tcPr>
          <w:p w:rsidR="0013392C" w:rsidRDefault="00775CB0">
            <w:pPr>
              <w:rPr>
                <w:rFonts w:eastAsia="Times New Roman"/>
              </w:rPr>
            </w:pPr>
            <w:r>
              <w:rPr>
                <w:rFonts w:eastAsia="Times New Roman"/>
                <w:i/>
                <w:iCs/>
              </w:rPr>
              <w:t>David Hall</w:t>
            </w:r>
          </w:p>
        </w:tc>
      </w:tr>
      <w:tr w:rsidR="0013392C">
        <w:trPr>
          <w:tblCellSpacing w:w="15" w:type="dxa"/>
        </w:trPr>
        <w:tc>
          <w:tcPr>
            <w:tcW w:w="5000" w:type="pct"/>
            <w:gridSpan w:val="7"/>
            <w:vAlign w:val="center"/>
            <w:hideMark/>
          </w:tcPr>
          <w:p w:rsidR="0013392C" w:rsidRDefault="00775CB0">
            <w:pPr>
              <w:rPr>
                <w:rFonts w:eastAsia="Times New Roman"/>
              </w:rPr>
            </w:pPr>
            <w:r>
              <w:rPr>
                <w:rFonts w:eastAsia="Times New Roman"/>
              </w:rPr>
              <w:t> </w:t>
            </w:r>
          </w:p>
        </w:tc>
      </w:tr>
    </w:tbl>
    <w:p w:rsidR="0013392C" w:rsidRDefault="0013392C">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64"/>
        <w:gridCol w:w="8062"/>
      </w:tblGrid>
      <w:tr w:rsidR="0013392C">
        <w:trPr>
          <w:tblCellSpacing w:w="15" w:type="dxa"/>
        </w:trPr>
        <w:tc>
          <w:tcPr>
            <w:tcW w:w="5000" w:type="pct"/>
            <w:gridSpan w:val="2"/>
            <w:vAlign w:val="center"/>
            <w:hideMark/>
          </w:tcPr>
          <w:p w:rsidR="0013392C" w:rsidRDefault="00775CB0">
            <w:pPr>
              <w:jc w:val="center"/>
              <w:rPr>
                <w:rFonts w:eastAsia="Times New Roman"/>
              </w:rPr>
            </w:pPr>
            <w:r>
              <w:rPr>
                <w:rFonts w:eastAsia="Times New Roman"/>
                <w:b/>
                <w:bCs/>
                <w:i/>
                <w:iCs/>
              </w:rPr>
              <w:t>Public</w:t>
            </w:r>
            <w:r>
              <w:rPr>
                <w:rFonts w:eastAsia="Times New Roman"/>
                <w:b/>
                <w:bCs/>
              </w:rPr>
              <w:t xml:space="preserve"> Minutes</w:t>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rPr>
              <w:t>Item number:</w:t>
            </w:r>
          </w:p>
        </w:tc>
        <w:tc>
          <w:tcPr>
            <w:tcW w:w="4000" w:type="pct"/>
            <w:hideMark/>
          </w:tcPr>
          <w:p w:rsidR="0013392C" w:rsidRDefault="00775CB0">
            <w:pPr>
              <w:rPr>
                <w:rFonts w:eastAsia="Times New Roman"/>
              </w:rPr>
            </w:pPr>
            <w:r>
              <w:rPr>
                <w:rFonts w:eastAsia="Times New Roman"/>
              </w:rPr>
              <w:t>Item description:</w:t>
            </w:r>
          </w:p>
        </w:tc>
      </w:tr>
      <w:tr w:rsidR="0013392C">
        <w:trPr>
          <w:tblCellSpacing w:w="15" w:type="dxa"/>
        </w:trPr>
        <w:tc>
          <w:tcPr>
            <w:tcW w:w="1000" w:type="pct"/>
            <w:hideMark/>
          </w:tcPr>
          <w:p w:rsidR="0013392C" w:rsidRDefault="00775CB0">
            <w:pPr>
              <w:rPr>
                <w:rFonts w:eastAsia="Times New Roman"/>
              </w:rPr>
            </w:pPr>
            <w:r>
              <w:rPr>
                <w:rFonts w:eastAsia="Times New Roman"/>
              </w:rPr>
              <w:t>(and category)</w:t>
            </w:r>
          </w:p>
        </w:tc>
        <w:tc>
          <w:tcPr>
            <w:tcW w:w="4000" w:type="pct"/>
            <w:hideMark/>
          </w:tcPr>
          <w:p w:rsidR="0013392C" w:rsidRDefault="00775CB0">
            <w:pPr>
              <w:rPr>
                <w:rFonts w:eastAsia="Times New Roman"/>
              </w:rPr>
            </w:pPr>
            <w:r>
              <w:rPr>
                <w:rFonts w:eastAsia="Times New Roman"/>
              </w:rPr>
              <w:t> </w:t>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13.21</w:t>
            </w:r>
          </w:p>
        </w:tc>
        <w:tc>
          <w:tcPr>
            <w:tcW w:w="4000" w:type="pct"/>
            <w:hideMark/>
          </w:tcPr>
          <w:p w:rsidR="0013392C" w:rsidRDefault="00775CB0">
            <w:pPr>
              <w:rPr>
                <w:rFonts w:eastAsia="Times New Roman"/>
              </w:rPr>
            </w:pPr>
            <w:r>
              <w:rPr>
                <w:rFonts w:eastAsia="Times New Roman"/>
                <w:b/>
                <w:bCs/>
                <w:i/>
                <w:iCs/>
              </w:rPr>
              <w:t>Attendance of College Management Staff</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Section 8.2 of the current Constitution and Terms of Reference for the Finance &amp; Resources Committee states:</w:t>
            </w:r>
          </w:p>
          <w:p w:rsidR="005E542D" w:rsidRDefault="005E542D">
            <w:pPr>
              <w:rPr>
                <w:rFonts w:eastAsia="Times New Roman"/>
              </w:rPr>
            </w:pPr>
          </w:p>
          <w:p w:rsidR="005E542D" w:rsidRDefault="00775CB0">
            <w:pPr>
              <w:rPr>
                <w:rFonts w:eastAsia="Times New Roman"/>
                <w:i/>
                <w:iCs/>
              </w:rPr>
            </w:pPr>
            <w:r>
              <w:rPr>
                <w:rFonts w:eastAsia="Times New Roman"/>
              </w:rPr>
              <w:br w:type="page"/>
            </w:r>
            <w:r>
              <w:rPr>
                <w:rFonts w:eastAsia="Times New Roman"/>
              </w:rPr>
              <w:br w:type="page"/>
            </w: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5E542D" w:rsidRDefault="005E542D">
            <w:pPr>
              <w:rPr>
                <w:rFonts w:eastAsia="Times New Roman"/>
                <w:i/>
                <w:iCs/>
              </w:rPr>
            </w:pPr>
          </w:p>
          <w:p w:rsidR="005E542D" w:rsidRDefault="00775CB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E542D" w:rsidRDefault="005E542D">
            <w:pPr>
              <w:rPr>
                <w:rFonts w:eastAsia="Times New Roman"/>
                <w:b/>
                <w:bCs/>
              </w:rPr>
            </w:pPr>
          </w:p>
          <w:p w:rsidR="0013392C" w:rsidRDefault="00775CB0">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14.21</w:t>
            </w:r>
          </w:p>
        </w:tc>
        <w:tc>
          <w:tcPr>
            <w:tcW w:w="4000" w:type="pct"/>
            <w:hideMark/>
          </w:tcPr>
          <w:p w:rsidR="0013392C" w:rsidRDefault="00775CB0">
            <w:pPr>
              <w:rPr>
                <w:rFonts w:eastAsia="Times New Roman"/>
              </w:rPr>
            </w:pPr>
            <w:r>
              <w:rPr>
                <w:rFonts w:eastAsia="Times New Roman"/>
                <w:b/>
                <w:bCs/>
                <w:i/>
                <w:iCs/>
              </w:rPr>
              <w:t>Apologies for Absence</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Record</w:t>
            </w:r>
          </w:p>
        </w:tc>
        <w:tc>
          <w:tcPr>
            <w:tcW w:w="4000" w:type="pct"/>
            <w:hideMark/>
          </w:tcPr>
          <w:p w:rsidR="0013392C" w:rsidRDefault="00775CB0">
            <w:pPr>
              <w:rPr>
                <w:rFonts w:eastAsia="Times New Roman"/>
              </w:rPr>
            </w:pPr>
            <w:r>
              <w:rPr>
                <w:rFonts w:eastAsia="Times New Roman"/>
              </w:rPr>
              <w:t>Apologies for absence had been received from David Hall.</w:t>
            </w:r>
            <w:r>
              <w:rPr>
                <w:rFonts w:eastAsia="Times New Roman"/>
              </w:rPr>
              <w:br w:type="page"/>
            </w:r>
            <w:r>
              <w:rPr>
                <w:rFonts w:eastAsia="Times New Roman"/>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15.21</w:t>
            </w:r>
          </w:p>
        </w:tc>
        <w:tc>
          <w:tcPr>
            <w:tcW w:w="4000" w:type="pct"/>
            <w:hideMark/>
          </w:tcPr>
          <w:p w:rsidR="0013392C" w:rsidRDefault="00775CB0">
            <w:pPr>
              <w:rPr>
                <w:rFonts w:eastAsia="Times New Roman"/>
              </w:rPr>
            </w:pPr>
            <w:r>
              <w:rPr>
                <w:rFonts w:eastAsia="Times New Roman"/>
                <w:b/>
                <w:bCs/>
                <w:i/>
                <w:iCs/>
              </w:rPr>
              <w:t>Minutes of Previous Meeting</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13392C" w:rsidRDefault="00775CB0">
            <w:pPr>
              <w:rPr>
                <w:rFonts w:eastAsia="Times New Roman"/>
              </w:rPr>
            </w:pPr>
            <w:r>
              <w:rPr>
                <w:rFonts w:eastAsia="Times New Roman"/>
              </w:rPr>
              <w:t>The public minutes of the Finance &amp; Resources Committee meeting number 33 held on 19 January 2021, published on the extranet, were agreed and signed as a true and correct representation of the meeting.</w:t>
            </w:r>
            <w:r>
              <w:rPr>
                <w:rFonts w:eastAsia="Times New Roman"/>
              </w:rPr>
              <w:br w:type="page"/>
            </w:r>
            <w:r>
              <w:rPr>
                <w:rFonts w:eastAsia="Times New Roman"/>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16.21</w:t>
            </w:r>
          </w:p>
        </w:tc>
        <w:tc>
          <w:tcPr>
            <w:tcW w:w="4000" w:type="pct"/>
            <w:hideMark/>
          </w:tcPr>
          <w:p w:rsidR="0013392C" w:rsidRDefault="00775CB0">
            <w:pPr>
              <w:rPr>
                <w:rFonts w:eastAsia="Times New Roman"/>
              </w:rPr>
            </w:pPr>
            <w:r>
              <w:rPr>
                <w:rFonts w:eastAsia="Times New Roman"/>
                <w:b/>
                <w:bCs/>
                <w:i/>
                <w:iCs/>
              </w:rPr>
              <w:t>Declarations of Interest</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Record</w:t>
            </w:r>
          </w:p>
        </w:tc>
        <w:tc>
          <w:tcPr>
            <w:tcW w:w="4000" w:type="pct"/>
            <w:hideMark/>
          </w:tcPr>
          <w:p w:rsidR="0013392C" w:rsidRDefault="00775CB0">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17.21</w:t>
            </w:r>
          </w:p>
        </w:tc>
        <w:tc>
          <w:tcPr>
            <w:tcW w:w="4000" w:type="pct"/>
            <w:hideMark/>
          </w:tcPr>
          <w:p w:rsidR="0013392C" w:rsidRDefault="00775CB0">
            <w:pPr>
              <w:rPr>
                <w:rFonts w:eastAsia="Times New Roman"/>
              </w:rPr>
            </w:pPr>
            <w:r>
              <w:rPr>
                <w:rFonts w:eastAsia="Times New Roman"/>
                <w:b/>
                <w:bCs/>
                <w:i/>
                <w:iCs/>
              </w:rPr>
              <w:t>Strategic Plan Progress Report</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tbl>
            <w:tblPr>
              <w:tblW w:w="7980" w:type="dxa"/>
              <w:tblCellSpacing w:w="15" w:type="dxa"/>
              <w:tblCellMar>
                <w:top w:w="15" w:type="dxa"/>
                <w:left w:w="15" w:type="dxa"/>
                <w:bottom w:w="15" w:type="dxa"/>
                <w:right w:w="15" w:type="dxa"/>
              </w:tblCellMar>
              <w:tblLook w:val="04A0" w:firstRow="1" w:lastRow="0" w:firstColumn="1" w:lastColumn="0" w:noHBand="0" w:noVBand="1"/>
            </w:tblPr>
            <w:tblGrid>
              <w:gridCol w:w="7980"/>
            </w:tblGrid>
            <w:tr w:rsidR="0013392C">
              <w:trPr>
                <w:tblCellSpacing w:w="15" w:type="dxa"/>
              </w:trPr>
              <w:tc>
                <w:tcPr>
                  <w:tcW w:w="0" w:type="auto"/>
                  <w:vAlign w:val="center"/>
                  <w:hideMark/>
                </w:tcPr>
                <w:p w:rsidR="0013392C" w:rsidRDefault="00775CB0" w:rsidP="005E542D">
                  <w:pPr>
                    <w:pStyle w:val="NormalWeb"/>
                    <w:framePr w:hSpace="45" w:wrap="around" w:vAnchor="text" w:hAnchor="text"/>
                  </w:pPr>
                  <w:r>
                    <w:t>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p>
                <w:p w:rsidR="005E542D" w:rsidRDefault="00775CB0" w:rsidP="005E542D">
                  <w:pPr>
                    <w:pStyle w:val="NormalWeb"/>
                    <w:framePr w:hSpace="45" w:wrap="around" w:vAnchor="text" w:hAnchor="text"/>
                  </w:pPr>
                  <w:r>
                    <w:t xml:space="preserve">Staff sickness and retention were better than target but the </w:t>
                  </w:r>
                  <w:proofErr w:type="spellStart"/>
                  <w:r>
                    <w:t>Riddor</w:t>
                  </w:r>
                  <w:proofErr w:type="spellEnd"/>
                  <w:r>
                    <w:t xml:space="preserve"> accident rate was above a target of less than 3% for this time of year but not a concern. </w:t>
                  </w:r>
                  <w:r>
                    <w:br w:type="page"/>
                  </w:r>
                  <w:r>
                    <w:br w:type="page"/>
                  </w:r>
                </w:p>
                <w:p w:rsidR="005E542D" w:rsidRDefault="00775CB0" w:rsidP="005E542D">
                  <w:pPr>
                    <w:pStyle w:val="NormalWeb"/>
                    <w:framePr w:hSpace="45" w:wrap="around" w:vAnchor="text" w:hAnchor="text"/>
                  </w:pPr>
                  <w:r>
                    <w:t xml:space="preserve">Sustainability indicated that Myerscough Ventures contribution was behind target due to the pandemic and lockdown.  </w:t>
                  </w:r>
                </w:p>
                <w:p w:rsidR="005E542D" w:rsidRDefault="00775CB0" w:rsidP="005E542D">
                  <w:pPr>
                    <w:pStyle w:val="NormalWeb"/>
                    <w:framePr w:hSpace="45" w:wrap="around" w:vAnchor="text" w:hAnchor="text"/>
                  </w:pPr>
                  <w:r>
                    <w:t xml:space="preserve">The remaining financial indicators (surplus, cash days, cash balance, EBITTDA, borrowings as a % of income) were on or above target with the exception of the </w:t>
                  </w:r>
                  <w:r>
                    <w:lastRenderedPageBreak/>
                    <w:t>14 to 16 age group and HE part time student numbers, both of which were behind target although not by a significant amount with two terms remaining.</w:t>
                  </w:r>
                </w:p>
                <w:p w:rsidR="005E542D" w:rsidRDefault="00775CB0" w:rsidP="005E542D">
                  <w:pPr>
                    <w:pStyle w:val="NormalWeb"/>
                    <w:framePr w:hSpace="45" w:wrap="around" w:vAnchor="text" w:hAnchor="text"/>
                  </w:pPr>
                  <w:r>
                    <w:br w:type="page"/>
                  </w:r>
                  <w:r>
                    <w:br w:type="page"/>
                    <w:t xml:space="preserve">Recruitment to FE was approximately 162 above target whilst HE was down on part-time students. </w:t>
                  </w:r>
                </w:p>
                <w:p w:rsidR="005E542D" w:rsidRDefault="00775CB0" w:rsidP="005E542D">
                  <w:pPr>
                    <w:pStyle w:val="NormalWeb"/>
                    <w:framePr w:hSpace="45" w:wrap="around" w:vAnchor="text" w:hAnchor="text"/>
                  </w:pPr>
                  <w:r>
                    <w:t>The Capital Plan was anticipated to be delivered on time and within target.</w:t>
                  </w:r>
                </w:p>
                <w:p w:rsidR="005E542D" w:rsidRDefault="00775CB0" w:rsidP="005E542D">
                  <w:pPr>
                    <w:pStyle w:val="NormalWeb"/>
                    <w:framePr w:hSpace="45" w:wrap="around" w:vAnchor="text" w:hAnchor="text"/>
                    <w:rPr>
                      <w:b/>
                      <w:bCs/>
                    </w:rPr>
                  </w:pPr>
                  <w:r>
                    <w:br w:type="page"/>
                  </w:r>
                  <w:r>
                    <w:br w:type="page"/>
                  </w:r>
                  <w:r>
                    <w:rPr>
                      <w:rStyle w:val="Strong"/>
                    </w:rPr>
                    <w:t>Resolved:</w:t>
                  </w:r>
                  <w:r>
                    <w:rPr>
                      <w:b/>
                      <w:bCs/>
                    </w:rPr>
                    <w:br w:type="page"/>
                  </w:r>
                  <w:r>
                    <w:rPr>
                      <w:b/>
                      <w:bCs/>
                    </w:rPr>
                    <w:br w:type="page"/>
                  </w:r>
                </w:p>
                <w:p w:rsidR="0013392C" w:rsidRDefault="00775CB0" w:rsidP="005E542D">
                  <w:pPr>
                    <w:pStyle w:val="NormalWeb"/>
                    <w:framePr w:hSpace="45" w:wrap="around" w:vAnchor="text" w:hAnchor="text"/>
                  </w:pPr>
                  <w:r>
                    <w:rPr>
                      <w:rStyle w:val="Strong"/>
                    </w:rPr>
                    <w:t>That the Strategic Plan Report be received.</w:t>
                  </w:r>
                  <w:r>
                    <w:rPr>
                      <w:b/>
                      <w:bCs/>
                    </w:rPr>
                    <w:br w:type="page"/>
                  </w:r>
                </w:p>
              </w:tc>
            </w:tr>
          </w:tbl>
          <w:p w:rsidR="0013392C" w:rsidRDefault="0013392C">
            <w:pPr>
              <w:rPr>
                <w:rFonts w:eastAsia="Times New Roman"/>
              </w:rPr>
            </w:pP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lastRenderedPageBreak/>
              <w:t> </w:t>
            </w:r>
          </w:p>
        </w:tc>
      </w:tr>
      <w:tr w:rsidR="0013392C">
        <w:trPr>
          <w:tblCellSpacing w:w="15" w:type="dxa"/>
        </w:trPr>
        <w:tc>
          <w:tcPr>
            <w:tcW w:w="1000" w:type="pct"/>
            <w:hideMark/>
          </w:tcPr>
          <w:p w:rsidR="0013392C" w:rsidRDefault="00775CB0">
            <w:pPr>
              <w:rPr>
                <w:rFonts w:eastAsia="Times New Roman"/>
              </w:rPr>
            </w:pPr>
            <w:r>
              <w:rPr>
                <w:rFonts w:eastAsia="Times New Roman"/>
                <w:b/>
                <w:bCs/>
              </w:rPr>
              <w:t>18.21</w:t>
            </w:r>
          </w:p>
        </w:tc>
        <w:tc>
          <w:tcPr>
            <w:tcW w:w="4000" w:type="pct"/>
            <w:hideMark/>
          </w:tcPr>
          <w:p w:rsidR="0013392C" w:rsidRDefault="00775CB0">
            <w:pPr>
              <w:rPr>
                <w:rFonts w:eastAsia="Times New Roman"/>
              </w:rPr>
            </w:pPr>
            <w:r>
              <w:rPr>
                <w:rFonts w:eastAsia="Times New Roman"/>
                <w:b/>
                <w:bCs/>
                <w:i/>
                <w:iCs/>
              </w:rPr>
              <w:t>FE Commissioner Letter</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The Committee considered a termly letter from the FE Commissioner, Richard Atkins, dated 22 February 2021, which thanked Colleges for their support during his term of office which would end on 31 March 2021.</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The letter also made mention of changes to the Financial Benchmarks used by the Commissioner and attached an appendix to the letter setting out the definitions and methodology, with reference to ESFA financial templates.</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The Deputy Principal, Finance and Corporate Services, made mention of the changes in her monthly accounts report later in the agenda.</w:t>
            </w:r>
          </w:p>
          <w:p w:rsidR="005E542D" w:rsidRDefault="005E542D">
            <w:pPr>
              <w:rPr>
                <w:rFonts w:eastAsia="Times New Roman"/>
              </w:rPr>
            </w:pPr>
          </w:p>
          <w:p w:rsidR="005E542D" w:rsidRDefault="00775CB0">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5E542D" w:rsidRDefault="005E542D">
            <w:pPr>
              <w:rPr>
                <w:rFonts w:eastAsia="Times New Roman"/>
                <w:b/>
                <w:bCs/>
              </w:rPr>
            </w:pPr>
          </w:p>
          <w:p w:rsidR="0013392C" w:rsidRDefault="00775CB0">
            <w:pPr>
              <w:rPr>
                <w:rFonts w:eastAsia="Times New Roman"/>
              </w:rPr>
            </w:pPr>
            <w:r>
              <w:rPr>
                <w:rStyle w:val="Strong"/>
                <w:rFonts w:eastAsia="Times New Roman"/>
              </w:rPr>
              <w:t>That the letter and changes to the financial benchmarks be noted.</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19.21</w:t>
            </w:r>
          </w:p>
        </w:tc>
        <w:tc>
          <w:tcPr>
            <w:tcW w:w="4000" w:type="pct"/>
            <w:hideMark/>
          </w:tcPr>
          <w:p w:rsidR="0013392C" w:rsidRDefault="00775CB0">
            <w:pPr>
              <w:rPr>
                <w:rFonts w:eastAsia="Times New Roman"/>
              </w:rPr>
            </w:pPr>
            <w:r>
              <w:rPr>
                <w:rFonts w:eastAsia="Times New Roman"/>
                <w:b/>
                <w:bCs/>
                <w:i/>
                <w:iCs/>
              </w:rPr>
              <w:t>Financial Position Statement for the Period ended 31 January 2021</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The report was presented by the Deputy Principal, Finance and Corporate Services. This included a statement of comprehensive income together with a detailed analysis. The statements showed the actual results for the period up to 31 January 2021, together with the outturn for 2019-20, the budget for 2020-21, which was approved by the Board in July 2020 and the Forecast for 2020-21. The Balance Sheet as at the period end was also included, together with details of Cash Flow for the year to 31 July 2021 and forecast Cash Flow to July 2022.</w:t>
            </w:r>
            <w:r>
              <w:rPr>
                <w:rFonts w:eastAsia="Times New Roman"/>
              </w:rPr>
              <w:br w:type="page"/>
            </w:r>
            <w:r>
              <w:rPr>
                <w:rFonts w:eastAsia="Times New Roman"/>
              </w:rPr>
              <w:br w:type="page"/>
            </w:r>
          </w:p>
          <w:p w:rsidR="005E542D" w:rsidRDefault="005E542D">
            <w:pPr>
              <w:rPr>
                <w:rFonts w:eastAsia="Times New Roman"/>
              </w:rPr>
            </w:pPr>
          </w:p>
          <w:p w:rsidR="005E542D" w:rsidRDefault="00775CB0" w:rsidP="005E542D">
            <w:pPr>
              <w:rPr>
                <w:rFonts w:eastAsia="Times New Roman"/>
              </w:rPr>
            </w:pPr>
            <w:r>
              <w:rPr>
                <w:rFonts w:eastAsia="Times New Roman"/>
              </w:rPr>
              <w:t>Overall College income was £14.888m against a budget of £15.331m.</w:t>
            </w:r>
            <w:r>
              <w:rPr>
                <w:rFonts w:eastAsia="Times New Roman"/>
              </w:rPr>
              <w:br w:type="page"/>
            </w:r>
            <w:r>
              <w:rPr>
                <w:rFonts w:eastAsia="Times New Roman"/>
              </w:rPr>
              <w:br w:type="page"/>
            </w:r>
          </w:p>
          <w:p w:rsidR="005E542D" w:rsidRDefault="005E542D" w:rsidP="005E542D">
            <w:pPr>
              <w:rPr>
                <w:rFonts w:eastAsia="Times New Roman"/>
              </w:rPr>
            </w:pPr>
          </w:p>
          <w:p w:rsidR="005E542D" w:rsidRDefault="00775CB0" w:rsidP="005E542D">
            <w:pPr>
              <w:rPr>
                <w:rFonts w:eastAsia="Times New Roman"/>
              </w:rPr>
            </w:pPr>
            <w:r>
              <w:rPr>
                <w:rFonts w:eastAsia="Times New Roman"/>
              </w:rPr>
              <w:t xml:space="preserve">Surplus income of £992k was £29k ahead of budget. This continuation of the promising start to the year given the current financial climate, although this only included one month of the current lockdown with minimal residential students on campus. A reduction in income owing to limited commercial and student related activities (due to reduced footfall on campus) had been offset by cost savings. EBITDA to income percentage had dropped slightly to 13.73% against a forecast of 13.24% but remained healthy.  The actual payroll to income ratio was 58.2% compared to a budgeted ratio of 56.8%, a slight decline for the month.  Cash </w:t>
            </w:r>
            <w:r>
              <w:rPr>
                <w:rFonts w:eastAsia="Times New Roman"/>
              </w:rPr>
              <w:lastRenderedPageBreak/>
              <w:t>balances at the period-end were £9.639m compared to an expected £8.497m as forecast. Cash days stood at 120 days. </w:t>
            </w:r>
            <w:r>
              <w:rPr>
                <w:rFonts w:eastAsia="Times New Roman"/>
              </w:rPr>
              <w:br w:type="page"/>
            </w:r>
            <w:r>
              <w:rPr>
                <w:rFonts w:eastAsia="Times New Roman"/>
              </w:rPr>
              <w:br w:type="page"/>
            </w:r>
          </w:p>
          <w:p w:rsidR="005E542D" w:rsidRDefault="005E542D" w:rsidP="005E542D">
            <w:pPr>
              <w:rPr>
                <w:rFonts w:eastAsia="Times New Roman"/>
              </w:rPr>
            </w:pPr>
          </w:p>
          <w:p w:rsidR="005E542D" w:rsidRDefault="00775CB0" w:rsidP="005E542D">
            <w:pPr>
              <w:rPr>
                <w:rFonts w:eastAsia="Times New Roman"/>
                <w:b/>
                <w:bCs/>
              </w:rPr>
            </w:pPr>
            <w:r>
              <w:rPr>
                <w:rFonts w:eastAsia="Times New Roman"/>
              </w:rPr>
              <w:t>The College had also received approximately £400k of growth funding in the current year as a result of the increase in the number of FE students over the original funded allocation.</w:t>
            </w:r>
            <w:r>
              <w:rPr>
                <w:rFonts w:eastAsia="Times New Roman"/>
              </w:rPr>
              <w:br w:type="page"/>
            </w:r>
            <w:r>
              <w:rPr>
                <w:rFonts w:eastAsia="Times New Roman"/>
              </w:rPr>
              <w:br w:type="page"/>
              <w:t>Ventures accounts income was down to control budget by £16k; savings of £5k in pay and a £5k adverse variance in non-pay, overall given the turbulent conditions the result was being managed within the control budget. The current gross margin is £227k against a control budget of £244k.</w:t>
            </w:r>
            <w:r>
              <w:rPr>
                <w:rFonts w:eastAsia="Times New Roman"/>
              </w:rPr>
              <w:br w:type="page"/>
            </w:r>
            <w:r>
              <w:rPr>
                <w:rFonts w:eastAsia="Times New Roman"/>
                <w:b/>
                <w:bCs/>
              </w:rPr>
              <w:br w:type="page"/>
            </w:r>
          </w:p>
          <w:p w:rsidR="005E542D" w:rsidRDefault="005E542D" w:rsidP="005E542D">
            <w:pPr>
              <w:rPr>
                <w:rFonts w:eastAsia="Times New Roman"/>
                <w:b/>
                <w:bCs/>
              </w:rPr>
            </w:pPr>
          </w:p>
          <w:p w:rsidR="005E542D" w:rsidRDefault="00775CB0" w:rsidP="005E542D">
            <w:pPr>
              <w:rPr>
                <w:rFonts w:eastAsia="Times New Roman"/>
              </w:rPr>
            </w:pPr>
            <w:r>
              <w:rPr>
                <w:rFonts w:eastAsia="Times New Roman"/>
              </w:rPr>
              <w:t>The report included the full details of capital expenditure. Expenditure was currently £1.396m against a revised budget of £2.904m, which included the additional funding of £695k from the ESFA.</w:t>
            </w:r>
            <w:r>
              <w:rPr>
                <w:rFonts w:eastAsia="Times New Roman"/>
              </w:rPr>
              <w:br w:type="page"/>
            </w:r>
            <w:r>
              <w:rPr>
                <w:rFonts w:eastAsia="Times New Roman"/>
              </w:rPr>
              <w:br w:type="page"/>
            </w:r>
          </w:p>
          <w:p w:rsidR="005E542D" w:rsidRDefault="005E542D" w:rsidP="005E542D">
            <w:pPr>
              <w:rPr>
                <w:rFonts w:eastAsia="Times New Roman"/>
              </w:rPr>
            </w:pPr>
          </w:p>
          <w:p w:rsidR="005E542D" w:rsidRDefault="00775CB0" w:rsidP="005E542D">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E542D" w:rsidRDefault="005E542D" w:rsidP="005E542D">
            <w:pPr>
              <w:rPr>
                <w:rFonts w:eastAsia="Times New Roman"/>
                <w:b/>
                <w:bCs/>
              </w:rPr>
            </w:pPr>
          </w:p>
          <w:p w:rsidR="0013392C" w:rsidRDefault="00775CB0" w:rsidP="005E542D">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lastRenderedPageBreak/>
              <w:t> </w:t>
            </w:r>
          </w:p>
        </w:tc>
      </w:tr>
      <w:tr w:rsidR="0013392C">
        <w:trPr>
          <w:tblCellSpacing w:w="15" w:type="dxa"/>
        </w:trPr>
        <w:tc>
          <w:tcPr>
            <w:tcW w:w="1000" w:type="pct"/>
            <w:hideMark/>
          </w:tcPr>
          <w:p w:rsidR="0013392C" w:rsidRDefault="00775CB0">
            <w:pPr>
              <w:rPr>
                <w:rFonts w:eastAsia="Times New Roman"/>
              </w:rPr>
            </w:pPr>
            <w:r>
              <w:rPr>
                <w:rFonts w:eastAsia="Times New Roman"/>
                <w:b/>
                <w:bCs/>
              </w:rPr>
              <w:t>20.21</w:t>
            </w:r>
          </w:p>
        </w:tc>
        <w:tc>
          <w:tcPr>
            <w:tcW w:w="4000" w:type="pct"/>
            <w:hideMark/>
          </w:tcPr>
          <w:p w:rsidR="0013392C" w:rsidRDefault="00775CB0">
            <w:pPr>
              <w:rPr>
                <w:rFonts w:eastAsia="Times New Roman"/>
              </w:rPr>
            </w:pPr>
            <w:r>
              <w:rPr>
                <w:rFonts w:eastAsia="Times New Roman"/>
                <w:b/>
                <w:bCs/>
                <w:i/>
                <w:iCs/>
              </w:rPr>
              <w:t>Farm Reports</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The Deputy Principal, Resources, presented a report on the farm up to 31 January 2021.</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Income from sales was slightly above budget at £548,761, whilst pay and non-pay being £575,825 was 28% of the deficit budget at £27,054.</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Governors sought clarification regarding some of the terms used in the report to which the Deputy Principal responded. </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The performance of the farm would continue to be closely monitored throughout the remainder of the year. </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Also circulated with the report was the farm monitoring plan for 2020/2021.</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E542D" w:rsidRDefault="005E542D">
            <w:pPr>
              <w:rPr>
                <w:rFonts w:eastAsia="Times New Roman"/>
                <w:b/>
                <w:bCs/>
              </w:rPr>
            </w:pPr>
          </w:p>
          <w:p w:rsidR="0013392C" w:rsidRDefault="00775CB0">
            <w:pPr>
              <w:rPr>
                <w:rFonts w:eastAsia="Times New Roman"/>
              </w:rPr>
            </w:pPr>
            <w:r>
              <w:rPr>
                <w:rStyle w:val="Strong"/>
                <w:rFonts w:eastAsia="Times New Roman"/>
              </w:rPr>
              <w:t>That the reports be received.</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21.21</w:t>
            </w:r>
          </w:p>
        </w:tc>
        <w:tc>
          <w:tcPr>
            <w:tcW w:w="4000" w:type="pct"/>
            <w:hideMark/>
          </w:tcPr>
          <w:p w:rsidR="0013392C" w:rsidRDefault="00775CB0">
            <w:pPr>
              <w:rPr>
                <w:rFonts w:eastAsia="Times New Roman"/>
              </w:rPr>
            </w:pPr>
            <w:r>
              <w:rPr>
                <w:rFonts w:eastAsia="Times New Roman"/>
                <w:b/>
                <w:bCs/>
                <w:i/>
                <w:iCs/>
              </w:rPr>
              <w:t>Financial Regulations Annual Review</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The Committee considered the report of the Deputy Principal, Finance and Corporate Services, on a review of the Financial Regulations.</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The Financial Regulations required review on an annual basis and the changes to the previous version of the document had been highlighted.</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Due to level of amendments to the document it was  </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E542D" w:rsidRDefault="005E542D">
            <w:pPr>
              <w:rPr>
                <w:rFonts w:eastAsia="Times New Roman"/>
                <w:b/>
                <w:bCs/>
              </w:rPr>
            </w:pPr>
          </w:p>
          <w:p w:rsidR="0013392C" w:rsidRDefault="00775CB0">
            <w:pPr>
              <w:rPr>
                <w:rFonts w:eastAsia="Times New Roman"/>
              </w:rPr>
            </w:pPr>
            <w:r>
              <w:rPr>
                <w:rStyle w:val="Strong"/>
                <w:rFonts w:eastAsia="Times New Roman"/>
              </w:rPr>
              <w:lastRenderedPageBreak/>
              <w:t>That the Corporation be recommended to adopt the revised Financial Regulations with effect from 1 April 2021.</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lastRenderedPageBreak/>
              <w:t> </w:t>
            </w:r>
          </w:p>
        </w:tc>
      </w:tr>
      <w:tr w:rsidR="0013392C">
        <w:trPr>
          <w:tblCellSpacing w:w="15" w:type="dxa"/>
        </w:trPr>
        <w:tc>
          <w:tcPr>
            <w:tcW w:w="1000" w:type="pct"/>
            <w:hideMark/>
          </w:tcPr>
          <w:p w:rsidR="0013392C" w:rsidRDefault="00775CB0">
            <w:pPr>
              <w:rPr>
                <w:rFonts w:eastAsia="Times New Roman"/>
              </w:rPr>
            </w:pPr>
            <w:r>
              <w:rPr>
                <w:rFonts w:eastAsia="Times New Roman"/>
                <w:b/>
                <w:bCs/>
              </w:rPr>
              <w:t>22.21</w:t>
            </w:r>
          </w:p>
        </w:tc>
        <w:tc>
          <w:tcPr>
            <w:tcW w:w="4000" w:type="pct"/>
            <w:hideMark/>
          </w:tcPr>
          <w:p w:rsidR="0013392C" w:rsidRDefault="00775CB0">
            <w:pPr>
              <w:rPr>
                <w:rFonts w:eastAsia="Times New Roman"/>
              </w:rPr>
            </w:pPr>
            <w:r>
              <w:rPr>
                <w:rFonts w:eastAsia="Times New Roman"/>
                <w:b/>
                <w:bCs/>
                <w:i/>
                <w:iCs/>
              </w:rPr>
              <w:t>HE Tuition Fees Policy and Procedure 2021/2022</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 xml:space="preserve">Finance &amp; Resources Committee gave consideration to the proposed Higher Education Tuition Fees for 2021/2022. To ensure compliance Myerscough was required to work with </w:t>
            </w:r>
            <w:proofErr w:type="spellStart"/>
            <w:r>
              <w:rPr>
                <w:rFonts w:eastAsia="Times New Roman"/>
              </w:rPr>
              <w:t>UCLan</w:t>
            </w:r>
            <w:proofErr w:type="spellEnd"/>
            <w:r>
              <w:rPr>
                <w:rFonts w:eastAsia="Times New Roman"/>
              </w:rPr>
              <w:t xml:space="preserve"> to agree the fee structure for new entrants in 2021/22 as part of the Access Agreement and also in line with the requirements of the Office for Students.</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The College current recommendations were based on the existing fee cap of £9,250 for full time students.</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The report included a summary of the fees including part time and international students.</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Style w:val="Strong"/>
                <w:rFonts w:eastAsia="Times New Roman"/>
              </w:rPr>
              <w:t>Resolved:</w:t>
            </w:r>
            <w:r>
              <w:rPr>
                <w:rFonts w:eastAsia="Times New Roman"/>
              </w:rPr>
              <w:br w:type="page"/>
            </w:r>
            <w:r>
              <w:rPr>
                <w:rFonts w:eastAsia="Times New Roman"/>
              </w:rPr>
              <w:br w:type="page"/>
            </w:r>
          </w:p>
          <w:p w:rsidR="005E542D" w:rsidRDefault="005E542D">
            <w:pPr>
              <w:rPr>
                <w:rFonts w:eastAsia="Times New Roman"/>
              </w:rPr>
            </w:pPr>
          </w:p>
          <w:p w:rsidR="0013392C" w:rsidRDefault="00775CB0">
            <w:pPr>
              <w:rPr>
                <w:rFonts w:eastAsia="Times New Roman"/>
              </w:rPr>
            </w:pPr>
            <w:r>
              <w:rPr>
                <w:rStyle w:val="Strong"/>
                <w:rFonts w:eastAsia="Times New Roman"/>
              </w:rPr>
              <w:t>That the HE Tuition Fees be submitted to Corporation for approval.</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23.21</w:t>
            </w:r>
          </w:p>
        </w:tc>
        <w:tc>
          <w:tcPr>
            <w:tcW w:w="4000" w:type="pct"/>
            <w:hideMark/>
          </w:tcPr>
          <w:p w:rsidR="0013392C" w:rsidRDefault="00775CB0">
            <w:pPr>
              <w:rPr>
                <w:rFonts w:eastAsia="Times New Roman"/>
              </w:rPr>
            </w:pPr>
            <w:r>
              <w:rPr>
                <w:rFonts w:eastAsia="Times New Roman"/>
                <w:b/>
                <w:bCs/>
                <w:i/>
                <w:iCs/>
              </w:rPr>
              <w:t>HE Bursary Fund Policy and Procedure 2021-2022</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The Committee gave consideration to the review of the HE Bursary Fund Policy and Procedure for 2021-2022. Only minor amendments had been made to the Policy and Procedure from the previous year. </w:t>
            </w:r>
          </w:p>
          <w:p w:rsidR="005E542D" w:rsidRDefault="005E542D">
            <w:pPr>
              <w:rPr>
                <w:rFonts w:eastAsia="Times New Roman"/>
              </w:rPr>
            </w:pPr>
          </w:p>
          <w:p w:rsidR="005E542D" w:rsidRDefault="00775CB0">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5E542D" w:rsidRDefault="005E542D">
            <w:pPr>
              <w:rPr>
                <w:rFonts w:eastAsia="Times New Roman"/>
                <w:b/>
                <w:bCs/>
              </w:rPr>
            </w:pPr>
          </w:p>
          <w:p w:rsidR="0013392C" w:rsidRDefault="00775CB0">
            <w:pPr>
              <w:rPr>
                <w:rFonts w:eastAsia="Times New Roman"/>
              </w:rPr>
            </w:pPr>
            <w:r>
              <w:rPr>
                <w:rStyle w:val="Strong"/>
                <w:rFonts w:eastAsia="Times New Roman"/>
              </w:rPr>
              <w:t>That the revised HE Bursary Fund Policy and Procedure be agreed as remaining fit for purpose.</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24.21</w:t>
            </w:r>
          </w:p>
        </w:tc>
        <w:tc>
          <w:tcPr>
            <w:tcW w:w="4000" w:type="pct"/>
            <w:hideMark/>
          </w:tcPr>
          <w:p w:rsidR="0013392C" w:rsidRDefault="00775CB0">
            <w:pPr>
              <w:rPr>
                <w:rFonts w:eastAsia="Times New Roman"/>
              </w:rPr>
            </w:pPr>
            <w:r>
              <w:rPr>
                <w:rFonts w:eastAsia="Times New Roman"/>
                <w:b/>
                <w:bCs/>
                <w:i/>
                <w:iCs/>
              </w:rPr>
              <w:t>Subcontracting Supply Chain Policy, Fees and Charges - Review</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p w:rsidR="005E542D" w:rsidRDefault="00775CB0">
            <w:pPr>
              <w:rPr>
                <w:rFonts w:eastAsia="Times New Roman"/>
              </w:rPr>
            </w:pPr>
            <w:r>
              <w:rPr>
                <w:rFonts w:eastAsia="Times New Roman"/>
              </w:rPr>
              <w:t>The Committee considered the annual review of the Subcontracting Supply Chain Policy. The Committee noted that there were no significant changes to the policy.</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E542D" w:rsidRDefault="005E542D">
            <w:pPr>
              <w:rPr>
                <w:rFonts w:eastAsia="Times New Roman"/>
                <w:b/>
                <w:bCs/>
              </w:rPr>
            </w:pPr>
          </w:p>
          <w:p w:rsidR="0013392C" w:rsidRDefault="00775CB0">
            <w:pPr>
              <w:rPr>
                <w:rFonts w:eastAsia="Times New Roman"/>
              </w:rPr>
            </w:pPr>
            <w:r>
              <w:rPr>
                <w:rStyle w:val="Strong"/>
                <w:rFonts w:eastAsia="Times New Roman"/>
              </w:rPr>
              <w:t>That the Committee agree that the Subcontracting Supply Chain Policy, Fees and Charges remains fit for purpose.</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r w:rsidR="0013392C">
        <w:trPr>
          <w:tblCellSpacing w:w="15" w:type="dxa"/>
        </w:trPr>
        <w:tc>
          <w:tcPr>
            <w:tcW w:w="1000" w:type="pct"/>
            <w:hideMark/>
          </w:tcPr>
          <w:p w:rsidR="0013392C" w:rsidRDefault="00775CB0">
            <w:pPr>
              <w:rPr>
                <w:rFonts w:eastAsia="Times New Roman"/>
              </w:rPr>
            </w:pPr>
            <w:r>
              <w:rPr>
                <w:rFonts w:eastAsia="Times New Roman"/>
                <w:b/>
                <w:bCs/>
              </w:rPr>
              <w:t>25.21</w:t>
            </w:r>
          </w:p>
        </w:tc>
        <w:tc>
          <w:tcPr>
            <w:tcW w:w="4000" w:type="pct"/>
            <w:hideMark/>
          </w:tcPr>
          <w:p w:rsidR="0013392C" w:rsidRDefault="00775CB0">
            <w:pPr>
              <w:rPr>
                <w:rFonts w:eastAsia="Times New Roman"/>
              </w:rPr>
            </w:pPr>
            <w:r>
              <w:rPr>
                <w:rFonts w:eastAsia="Times New Roman"/>
                <w:b/>
                <w:bCs/>
                <w:i/>
                <w:iCs/>
              </w:rPr>
              <w:t>Statutory Risk Register</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tbl>
            <w:tblPr>
              <w:tblW w:w="8145" w:type="dxa"/>
              <w:tblCellSpacing w:w="15" w:type="dxa"/>
              <w:tblCellMar>
                <w:top w:w="15" w:type="dxa"/>
                <w:left w:w="15" w:type="dxa"/>
                <w:bottom w:w="15" w:type="dxa"/>
                <w:right w:w="15" w:type="dxa"/>
              </w:tblCellMar>
              <w:tblLook w:val="04A0" w:firstRow="1" w:lastRow="0" w:firstColumn="1" w:lastColumn="0" w:noHBand="0" w:noVBand="1"/>
            </w:tblPr>
            <w:tblGrid>
              <w:gridCol w:w="8145"/>
            </w:tblGrid>
            <w:tr w:rsidR="0013392C">
              <w:trPr>
                <w:tblCellSpacing w:w="15" w:type="dxa"/>
              </w:trPr>
              <w:tc>
                <w:tcPr>
                  <w:tcW w:w="0" w:type="auto"/>
                  <w:vAlign w:val="center"/>
                  <w:hideMark/>
                </w:tcPr>
                <w:p w:rsidR="0013392C" w:rsidRDefault="00775CB0" w:rsidP="005E542D">
                  <w:pPr>
                    <w:pStyle w:val="NormalWeb"/>
                    <w:framePr w:hSpace="45" w:wrap="around" w:vAnchor="text" w:hAnchor="text"/>
                  </w:pPr>
                  <w:r>
                    <w:t>The Finance and Resources Committee considered the Strategic Risk Report for 2020/2021 as presented by the Deputy Principal, Finance and Corporate Services. Included in the report was a reference to the risk appetite statement, risk assessment framework and risk heat map.</w:t>
                  </w:r>
                </w:p>
                <w:p w:rsidR="0013392C" w:rsidRDefault="00775CB0" w:rsidP="005E542D">
                  <w:pPr>
                    <w:pStyle w:val="NormalWeb"/>
                    <w:framePr w:hSpace="45" w:wrap="around" w:vAnchor="text" w:hAnchor="text"/>
                  </w:pPr>
                  <w:r>
                    <w:t>The Deputy Principal had reviewed the Register and re-ordered it to match the revised Strategic Aims of the College. Governors welcomed the revised report.</w:t>
                  </w:r>
                </w:p>
              </w:tc>
            </w:tr>
          </w:tbl>
          <w:p w:rsidR="005E542D" w:rsidRDefault="00775CB0">
            <w:pPr>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5E542D" w:rsidRDefault="005E542D">
            <w:pPr>
              <w:rPr>
                <w:rFonts w:eastAsia="Times New Roman"/>
                <w:b/>
                <w:bCs/>
              </w:rPr>
            </w:pPr>
          </w:p>
          <w:p w:rsidR="0013392C" w:rsidRDefault="00775CB0">
            <w:pPr>
              <w:rPr>
                <w:rFonts w:eastAsia="Times New Roman"/>
              </w:rPr>
            </w:pP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lastRenderedPageBreak/>
              <w:t> </w:t>
            </w:r>
          </w:p>
        </w:tc>
      </w:tr>
      <w:tr w:rsidR="0013392C">
        <w:trPr>
          <w:tblCellSpacing w:w="15" w:type="dxa"/>
        </w:trPr>
        <w:tc>
          <w:tcPr>
            <w:tcW w:w="1000" w:type="pct"/>
            <w:hideMark/>
          </w:tcPr>
          <w:p w:rsidR="0013392C" w:rsidRDefault="00775CB0">
            <w:pPr>
              <w:rPr>
                <w:rFonts w:eastAsia="Times New Roman"/>
              </w:rPr>
            </w:pPr>
            <w:r>
              <w:rPr>
                <w:rFonts w:eastAsia="Times New Roman"/>
                <w:b/>
                <w:bCs/>
              </w:rPr>
              <w:t>26.21</w:t>
            </w:r>
          </w:p>
        </w:tc>
        <w:tc>
          <w:tcPr>
            <w:tcW w:w="4000" w:type="pct"/>
            <w:hideMark/>
          </w:tcPr>
          <w:p w:rsidR="0013392C" w:rsidRDefault="00775CB0">
            <w:pPr>
              <w:rPr>
                <w:rFonts w:eastAsia="Times New Roman"/>
              </w:rPr>
            </w:pPr>
            <w:r>
              <w:rPr>
                <w:rFonts w:eastAsia="Times New Roman"/>
                <w:b/>
                <w:bCs/>
                <w:i/>
                <w:iCs/>
              </w:rPr>
              <w:t>Human Resources Report for the Period Ended 31 January 2021.</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7"/>
            </w:tblGrid>
            <w:tr w:rsidR="0013392C">
              <w:trPr>
                <w:tblCellSpacing w:w="15" w:type="dxa"/>
              </w:trPr>
              <w:tc>
                <w:tcPr>
                  <w:tcW w:w="0" w:type="auto"/>
                  <w:vAlign w:val="center"/>
                  <w:hideMark/>
                </w:tcPr>
                <w:p w:rsidR="0013392C" w:rsidRDefault="00775CB0" w:rsidP="005E542D">
                  <w:pPr>
                    <w:pStyle w:val="NormalWeb"/>
                    <w:framePr w:hSpace="45" w:wrap="around" w:vAnchor="text" w:hAnchor="text"/>
                  </w:pPr>
                  <w:r>
                    <w:t xml:space="preserve">The Committee considered the above report, which contained analysis of staff turnover, breakdown analysis of leavers, </w:t>
                  </w:r>
                  <w:proofErr w:type="gramStart"/>
                  <w:r>
                    <w:t>staff</w:t>
                  </w:r>
                  <w:proofErr w:type="gramEnd"/>
                  <w:r>
                    <w:t xml:space="preserve"> stability index and staff sickness statistics for the year up to 31 January 2021.</w:t>
                  </w:r>
                </w:p>
                <w:p w:rsidR="005E542D" w:rsidRDefault="005E542D" w:rsidP="005E542D">
                  <w:pPr>
                    <w:pStyle w:val="NormalWeb"/>
                    <w:framePr w:hSpace="45" w:wrap="around" w:vAnchor="text" w:hAnchor="text"/>
                  </w:pPr>
                </w:p>
              </w:tc>
            </w:tr>
          </w:tbl>
          <w:p w:rsidR="005E542D" w:rsidRDefault="00775CB0">
            <w:pPr>
              <w:rPr>
                <w:rFonts w:eastAsia="Times New Roman"/>
              </w:rPr>
            </w:pPr>
            <w:r>
              <w:rPr>
                <w:rFonts w:eastAsia="Times New Roman"/>
              </w:rPr>
              <w:t>The Committee noted that staff turnover was currently much better than target at 12.7% and</w:t>
            </w:r>
            <w:proofErr w:type="gramStart"/>
            <w:r>
              <w:rPr>
                <w:rFonts w:eastAsia="Times New Roman"/>
              </w:rPr>
              <w:t>  better</w:t>
            </w:r>
            <w:proofErr w:type="gramEnd"/>
            <w:r>
              <w:rPr>
                <w:rFonts w:eastAsia="Times New Roman"/>
              </w:rPr>
              <w:t xml:space="preserve"> than the </w:t>
            </w:r>
            <w:proofErr w:type="spellStart"/>
            <w:r>
              <w:rPr>
                <w:rFonts w:eastAsia="Times New Roman"/>
              </w:rPr>
              <w:t>AoC</w:t>
            </w:r>
            <w:proofErr w:type="spellEnd"/>
            <w:r>
              <w:rPr>
                <w:rFonts w:eastAsia="Times New Roman"/>
              </w:rPr>
              <w:t xml:space="preserve"> benchmark. This was due in the main to the </w:t>
            </w:r>
            <w:proofErr w:type="spellStart"/>
            <w:r>
              <w:rPr>
                <w:rFonts w:eastAsia="Times New Roman"/>
              </w:rPr>
              <w:t>Covid</w:t>
            </w:r>
            <w:proofErr w:type="spellEnd"/>
            <w:r>
              <w:rPr>
                <w:rFonts w:eastAsia="Times New Roman"/>
              </w:rPr>
              <w:t xml:space="preserve"> pandemic and the resulting economic uncertainty. </w:t>
            </w:r>
            <w:r>
              <w:rPr>
                <w:rFonts w:eastAsia="Times New Roman"/>
              </w:rPr>
              <w:br w:type="page"/>
            </w:r>
            <w:r>
              <w:rPr>
                <w:rFonts w:eastAsia="Times New Roman"/>
              </w:rPr>
              <w:br w:type="page"/>
            </w:r>
          </w:p>
          <w:p w:rsidR="005E542D" w:rsidRDefault="005E542D">
            <w:pPr>
              <w:rPr>
                <w:rFonts w:eastAsia="Times New Roman"/>
              </w:rPr>
            </w:pPr>
          </w:p>
          <w:p w:rsidR="005E542D" w:rsidRDefault="00775CB0">
            <w:pPr>
              <w:rPr>
                <w:rFonts w:eastAsia="Times New Roman"/>
              </w:rPr>
            </w:pPr>
            <w:r>
              <w:rPr>
                <w:rFonts w:eastAsia="Times New Roman"/>
              </w:rPr>
              <w:t xml:space="preserve">Overall staff sickness was being closely monitored at 1.79% and was better than the target of less than 3%. The </w:t>
            </w:r>
            <w:proofErr w:type="spellStart"/>
            <w:r>
              <w:rPr>
                <w:rFonts w:eastAsia="Times New Roman"/>
              </w:rPr>
              <w:t>AoC</w:t>
            </w:r>
            <w:proofErr w:type="spellEnd"/>
            <w:r>
              <w:rPr>
                <w:rFonts w:eastAsia="Times New Roman"/>
              </w:rPr>
              <w:t xml:space="preserve"> benchmark was also 3%. Long term sickness of 5 employees was just under the target of 6.</w:t>
            </w:r>
            <w:r>
              <w:rPr>
                <w:rFonts w:eastAsia="Times New Roman"/>
              </w:rPr>
              <w:br w:type="page"/>
            </w:r>
            <w:r>
              <w:rPr>
                <w:rFonts w:eastAsia="Times New Roman"/>
              </w:rPr>
              <w:br w:type="page"/>
            </w:r>
          </w:p>
          <w:p w:rsidR="005E542D" w:rsidRDefault="005E542D">
            <w:pPr>
              <w:rPr>
                <w:rFonts w:eastAsia="Times New Roman"/>
              </w:rPr>
            </w:pPr>
          </w:p>
          <w:p w:rsidR="0013392C" w:rsidRDefault="00775CB0">
            <w:pPr>
              <w:rPr>
                <w:rFonts w:eastAsia="Times New Roman"/>
              </w:rPr>
            </w:pPr>
            <w:r>
              <w:rPr>
                <w:rFonts w:eastAsia="Times New Roman"/>
              </w:rPr>
              <w:t>Circulated with the HR report was a report on the Gender Pay Gap for the period 1 April 2020 - 31 March 2021.</w:t>
            </w:r>
            <w:r>
              <w:rPr>
                <w:rFonts w:eastAsia="Times New Roman"/>
              </w:rPr>
              <w:br w:type="page"/>
            </w:r>
          </w:p>
          <w:p w:rsidR="0013392C" w:rsidRDefault="00775CB0">
            <w:pPr>
              <w:pStyle w:val="NormalWeb"/>
            </w:pPr>
            <w:r>
              <w:t>Gender pay was the difference between the average earnings of working men and women within an organisation; it differs from equal pay which was about differences in pay for the same work, similar work, or work which is of equal value.</w:t>
            </w:r>
          </w:p>
          <w:p w:rsidR="0013392C" w:rsidRDefault="00775CB0">
            <w:pPr>
              <w:rPr>
                <w:rFonts w:eastAsia="Times New Roman"/>
              </w:rPr>
            </w:pPr>
            <w:r>
              <w:rPr>
                <w:rFonts w:eastAsia="Times New Roman"/>
              </w:rPr>
              <w:t>The results for the College were:</w:t>
            </w:r>
            <w:r>
              <w:rPr>
                <w:rFonts w:eastAsia="Times New Roman"/>
              </w:rPr>
              <w:br w:type="page"/>
            </w:r>
            <w:r>
              <w:rPr>
                <w:rFonts w:eastAsia="Times New Roman"/>
              </w:rPr>
              <w:br w:type="page"/>
            </w:r>
          </w:p>
          <w:p w:rsidR="005E542D" w:rsidRDefault="005E542D">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5"/>
              <w:gridCol w:w="567"/>
              <w:gridCol w:w="855"/>
            </w:tblGrid>
            <w:tr w:rsidR="0013392C" w:rsidTr="00585472">
              <w:trPr>
                <w:tblCellSpacing w:w="15" w:type="dxa"/>
              </w:trPr>
              <w:tc>
                <w:tcPr>
                  <w:tcW w:w="0" w:type="auto"/>
                  <w:vAlign w:val="center"/>
                </w:tcPr>
                <w:p w:rsidR="00585472" w:rsidRDefault="00585472" w:rsidP="00585472">
                  <w:pPr>
                    <w:framePr w:hSpace="45" w:wrap="around" w:vAnchor="text" w:hAnchor="text"/>
                    <w:rPr>
                      <w:b/>
                    </w:rPr>
                  </w:pPr>
                  <w:r>
                    <w:rPr>
                      <w:b/>
                    </w:rPr>
                    <w:t>Myerscough College Mean and Median Pay:</w:t>
                  </w:r>
                </w:p>
                <w:p w:rsidR="00585472" w:rsidRDefault="00585472" w:rsidP="00585472">
                  <w:pPr>
                    <w:framePr w:hSpace="45" w:wrap="around" w:vAnchor="text" w:hAnchor="text"/>
                    <w:rPr>
                      <w:b/>
                    </w:rPr>
                  </w:pPr>
                </w:p>
                <w:p w:rsidR="00585472" w:rsidRDefault="00585472" w:rsidP="00585472">
                  <w:pPr>
                    <w:framePr w:hSpace="45" w:wrap="around" w:vAnchor="text" w:hAnchor="text"/>
                    <w:rPr>
                      <w:b/>
                    </w:rPr>
                  </w:pPr>
                  <w:r>
                    <w:rPr>
                      <w:b/>
                    </w:rPr>
                    <w:t>Calculation Type                                               Year   Percentage</w:t>
                  </w:r>
                </w:p>
                <w:p w:rsidR="00585472" w:rsidRDefault="00585472" w:rsidP="00585472">
                  <w:pPr>
                    <w:framePr w:hSpace="45" w:wrap="around" w:vAnchor="text" w:hAnchor="text"/>
                    <w:rPr>
                      <w:b/>
                    </w:rPr>
                  </w:pPr>
                </w:p>
                <w:p w:rsidR="00585472" w:rsidRDefault="00585472" w:rsidP="00585472">
                  <w:pPr>
                    <w:framePr w:hSpace="45" w:wrap="around" w:vAnchor="text" w:hAnchor="text"/>
                    <w:rPr>
                      <w:b/>
                    </w:rPr>
                  </w:pPr>
                  <w:r>
                    <w:rPr>
                      <w:b/>
                    </w:rPr>
                    <w:t>Mean Gender Pay Gap                                      2020     15.09%</w:t>
                  </w:r>
                </w:p>
                <w:p w:rsidR="00585472" w:rsidRPr="00544A3F" w:rsidRDefault="00585472" w:rsidP="00585472">
                  <w:pPr>
                    <w:framePr w:hSpace="45" w:wrap="around" w:vAnchor="text" w:hAnchor="text"/>
                  </w:pPr>
                  <w:r>
                    <w:t>Mean Gender P</w:t>
                  </w:r>
                  <w:r w:rsidRPr="00544A3F">
                    <w:t>ay Gap</w:t>
                  </w:r>
                  <w:r>
                    <w:t xml:space="preserve">                                         2019     13.8%</w:t>
                  </w:r>
                </w:p>
                <w:p w:rsidR="00585472" w:rsidRDefault="00585472" w:rsidP="00585472">
                  <w:pPr>
                    <w:framePr w:hSpace="45" w:wrap="around" w:vAnchor="text" w:hAnchor="text"/>
                    <w:rPr>
                      <w:b/>
                    </w:rPr>
                  </w:pPr>
                  <w:r>
                    <w:rPr>
                      <w:b/>
                    </w:rPr>
                    <w:t>Median Gender Pay Gap                                   2020     26.27%</w:t>
                  </w:r>
                </w:p>
                <w:p w:rsidR="00585472" w:rsidRPr="00544A3F" w:rsidRDefault="00585472" w:rsidP="00585472">
                  <w:pPr>
                    <w:framePr w:hSpace="45" w:wrap="around" w:vAnchor="text" w:hAnchor="text"/>
                  </w:pPr>
                  <w:r w:rsidRPr="00544A3F">
                    <w:t>Me</w:t>
                  </w:r>
                  <w:r>
                    <w:t>dian Gender P</w:t>
                  </w:r>
                  <w:r w:rsidRPr="00544A3F">
                    <w:t>ay Gap</w:t>
                  </w:r>
                  <w:r>
                    <w:t xml:space="preserve">                                      2019     26.3%</w:t>
                  </w:r>
                </w:p>
                <w:p w:rsidR="00585472" w:rsidRDefault="00585472" w:rsidP="00585472">
                  <w:pPr>
                    <w:pStyle w:val="NormalWeb"/>
                  </w:pPr>
                  <w:r>
                    <w:t>The above information had been published on the College website as required by the legislation.</w:t>
                  </w:r>
                  <w:r>
                    <w:br w:type="page"/>
                  </w:r>
                  <w:r>
                    <w:br w:type="page"/>
                  </w:r>
                </w:p>
                <w:p w:rsidR="00585472" w:rsidRDefault="00585472" w:rsidP="00585472">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85472" w:rsidRDefault="00585472" w:rsidP="00585472">
                  <w:pPr>
                    <w:rPr>
                      <w:rFonts w:eastAsia="Times New Roman"/>
                      <w:b/>
                      <w:bCs/>
                    </w:rPr>
                  </w:pPr>
                </w:p>
                <w:p w:rsidR="0013392C" w:rsidRDefault="00585472" w:rsidP="00585472">
                  <w:pPr>
                    <w:pStyle w:val="NormalWeb"/>
                    <w:framePr w:hSpace="45" w:wrap="around" w:vAnchor="text" w:hAnchor="text"/>
                  </w:pPr>
                  <w:r>
                    <w:rPr>
                      <w:rStyle w:val="Strong"/>
                      <w:rFonts w:eastAsia="Times New Roman"/>
                    </w:rPr>
                    <w:t>That the reports be received.</w:t>
                  </w:r>
                  <w:r>
                    <w:rPr>
                      <w:rFonts w:eastAsia="Times New Roman"/>
                      <w:b/>
                      <w:bCs/>
                    </w:rPr>
                    <w:br w:type="page"/>
                  </w:r>
                  <w:r>
                    <w:rPr>
                      <w:rFonts w:eastAsia="Times New Roman"/>
                      <w:b/>
                      <w:bCs/>
                    </w:rPr>
                    <w:br w:type="page"/>
                  </w:r>
                </w:p>
              </w:tc>
              <w:tc>
                <w:tcPr>
                  <w:tcW w:w="537" w:type="dxa"/>
                  <w:vAlign w:val="center"/>
                </w:tcPr>
                <w:p w:rsidR="007C478E" w:rsidRPr="007C478E" w:rsidRDefault="007C478E" w:rsidP="00585472">
                  <w:pPr>
                    <w:pStyle w:val="NormalWeb"/>
                    <w:framePr w:hSpace="45" w:wrap="around" w:vAnchor="text" w:hAnchor="text"/>
                    <w:rPr>
                      <w:b/>
                    </w:rPr>
                  </w:pPr>
                </w:p>
              </w:tc>
              <w:tc>
                <w:tcPr>
                  <w:tcW w:w="810" w:type="dxa"/>
                  <w:vAlign w:val="center"/>
                </w:tcPr>
                <w:p w:rsidR="007C478E" w:rsidRPr="007C478E" w:rsidRDefault="007C478E" w:rsidP="00585472">
                  <w:pPr>
                    <w:pStyle w:val="NormalWeb"/>
                    <w:framePr w:hSpace="45" w:wrap="around" w:vAnchor="text" w:hAnchor="text"/>
                    <w:rPr>
                      <w:b/>
                    </w:rPr>
                  </w:pPr>
                </w:p>
              </w:tc>
            </w:tr>
            <w:tr w:rsidR="0013392C" w:rsidTr="00585472">
              <w:trPr>
                <w:tblCellSpacing w:w="15" w:type="dxa"/>
              </w:trPr>
              <w:tc>
                <w:tcPr>
                  <w:tcW w:w="0" w:type="auto"/>
                  <w:vAlign w:val="center"/>
                </w:tcPr>
                <w:p w:rsidR="0013392C" w:rsidRDefault="0013392C" w:rsidP="005E542D">
                  <w:pPr>
                    <w:pStyle w:val="NormalWeb"/>
                    <w:framePr w:hSpace="45" w:wrap="around" w:vAnchor="text" w:hAnchor="text"/>
                  </w:pPr>
                </w:p>
              </w:tc>
              <w:tc>
                <w:tcPr>
                  <w:tcW w:w="537" w:type="dxa"/>
                  <w:vAlign w:val="center"/>
                </w:tcPr>
                <w:p w:rsidR="0013392C" w:rsidRDefault="0013392C" w:rsidP="005E542D">
                  <w:pPr>
                    <w:pStyle w:val="NormalWeb"/>
                    <w:framePr w:hSpace="45" w:wrap="around" w:vAnchor="text" w:hAnchor="text"/>
                  </w:pPr>
                </w:p>
              </w:tc>
              <w:tc>
                <w:tcPr>
                  <w:tcW w:w="810" w:type="dxa"/>
                  <w:vAlign w:val="center"/>
                </w:tcPr>
                <w:p w:rsidR="0013392C" w:rsidRDefault="0013392C" w:rsidP="005E542D">
                  <w:pPr>
                    <w:pStyle w:val="NormalWeb"/>
                    <w:framePr w:hSpace="45" w:wrap="around" w:vAnchor="text" w:hAnchor="text"/>
                  </w:pPr>
                </w:p>
              </w:tc>
            </w:tr>
            <w:tr w:rsidR="0013392C" w:rsidTr="00585472">
              <w:trPr>
                <w:tblCellSpacing w:w="15" w:type="dxa"/>
              </w:trPr>
              <w:tc>
                <w:tcPr>
                  <w:tcW w:w="0" w:type="auto"/>
                  <w:vAlign w:val="center"/>
                </w:tcPr>
                <w:p w:rsidR="0013392C" w:rsidRDefault="0013392C" w:rsidP="005E542D">
                  <w:pPr>
                    <w:pStyle w:val="NormalWeb"/>
                    <w:framePr w:hSpace="45" w:wrap="around" w:vAnchor="text" w:hAnchor="text"/>
                  </w:pPr>
                </w:p>
              </w:tc>
              <w:tc>
                <w:tcPr>
                  <w:tcW w:w="537" w:type="dxa"/>
                  <w:vAlign w:val="center"/>
                </w:tcPr>
                <w:p w:rsidR="0013392C" w:rsidRDefault="0013392C" w:rsidP="005E542D">
                  <w:pPr>
                    <w:pStyle w:val="NormalWeb"/>
                    <w:framePr w:hSpace="45" w:wrap="around" w:vAnchor="text" w:hAnchor="text"/>
                  </w:pPr>
                </w:p>
              </w:tc>
              <w:tc>
                <w:tcPr>
                  <w:tcW w:w="810" w:type="dxa"/>
                  <w:vAlign w:val="center"/>
                </w:tcPr>
                <w:p w:rsidR="0013392C" w:rsidRDefault="0013392C" w:rsidP="005E542D">
                  <w:pPr>
                    <w:pStyle w:val="NormalWeb"/>
                    <w:framePr w:hSpace="45" w:wrap="around" w:vAnchor="text" w:hAnchor="text"/>
                  </w:pPr>
                </w:p>
              </w:tc>
            </w:tr>
            <w:tr w:rsidR="0013392C" w:rsidTr="00585472">
              <w:trPr>
                <w:tblCellSpacing w:w="15" w:type="dxa"/>
              </w:trPr>
              <w:tc>
                <w:tcPr>
                  <w:tcW w:w="0" w:type="auto"/>
                  <w:vAlign w:val="center"/>
                </w:tcPr>
                <w:p w:rsidR="0013392C" w:rsidRDefault="0013392C" w:rsidP="007C478E">
                  <w:pPr>
                    <w:pStyle w:val="NormalWeb"/>
                    <w:framePr w:hSpace="45" w:wrap="around" w:vAnchor="text" w:hAnchor="text"/>
                  </w:pPr>
                </w:p>
              </w:tc>
              <w:tc>
                <w:tcPr>
                  <w:tcW w:w="537" w:type="dxa"/>
                  <w:vAlign w:val="center"/>
                </w:tcPr>
                <w:p w:rsidR="0013392C" w:rsidRDefault="0013392C" w:rsidP="005E542D">
                  <w:pPr>
                    <w:pStyle w:val="NormalWeb"/>
                    <w:framePr w:hSpace="45" w:wrap="around" w:vAnchor="text" w:hAnchor="text"/>
                  </w:pPr>
                </w:p>
              </w:tc>
              <w:tc>
                <w:tcPr>
                  <w:tcW w:w="810" w:type="dxa"/>
                  <w:vAlign w:val="center"/>
                </w:tcPr>
                <w:p w:rsidR="0013392C" w:rsidRDefault="0013392C" w:rsidP="005E542D">
                  <w:pPr>
                    <w:pStyle w:val="NormalWeb"/>
                    <w:framePr w:hSpace="45" w:wrap="around" w:vAnchor="text" w:hAnchor="text"/>
                  </w:pPr>
                </w:p>
              </w:tc>
            </w:tr>
            <w:tr w:rsidR="0013392C" w:rsidTr="00585472">
              <w:trPr>
                <w:tblCellSpacing w:w="15" w:type="dxa"/>
              </w:trPr>
              <w:tc>
                <w:tcPr>
                  <w:tcW w:w="0" w:type="auto"/>
                  <w:vAlign w:val="center"/>
                </w:tcPr>
                <w:p w:rsidR="0013392C" w:rsidRDefault="0013392C" w:rsidP="005E542D">
                  <w:pPr>
                    <w:pStyle w:val="NormalWeb"/>
                    <w:framePr w:hSpace="45" w:wrap="around" w:vAnchor="text" w:hAnchor="text"/>
                  </w:pPr>
                </w:p>
              </w:tc>
              <w:tc>
                <w:tcPr>
                  <w:tcW w:w="537" w:type="dxa"/>
                  <w:vAlign w:val="center"/>
                </w:tcPr>
                <w:p w:rsidR="0013392C" w:rsidRDefault="0013392C" w:rsidP="005E542D">
                  <w:pPr>
                    <w:pStyle w:val="NormalWeb"/>
                    <w:framePr w:hSpace="45" w:wrap="around" w:vAnchor="text" w:hAnchor="text"/>
                  </w:pPr>
                </w:p>
              </w:tc>
              <w:tc>
                <w:tcPr>
                  <w:tcW w:w="810" w:type="dxa"/>
                  <w:vAlign w:val="center"/>
                </w:tcPr>
                <w:p w:rsidR="0013392C" w:rsidRDefault="0013392C" w:rsidP="005E542D">
                  <w:pPr>
                    <w:pStyle w:val="NormalWeb"/>
                    <w:framePr w:hSpace="45" w:wrap="around" w:vAnchor="text" w:hAnchor="text"/>
                  </w:pPr>
                </w:p>
              </w:tc>
            </w:tr>
            <w:tr w:rsidR="00585472" w:rsidTr="00585472">
              <w:trPr>
                <w:tblCellSpacing w:w="15" w:type="dxa"/>
              </w:trPr>
              <w:tc>
                <w:tcPr>
                  <w:tcW w:w="0" w:type="auto"/>
                  <w:vAlign w:val="center"/>
                </w:tcPr>
                <w:p w:rsidR="00585472" w:rsidRDefault="00585472" w:rsidP="005E542D">
                  <w:pPr>
                    <w:pStyle w:val="NormalWeb"/>
                    <w:framePr w:hSpace="45" w:wrap="around" w:vAnchor="text" w:hAnchor="text"/>
                  </w:pPr>
                </w:p>
              </w:tc>
              <w:tc>
                <w:tcPr>
                  <w:tcW w:w="537" w:type="dxa"/>
                  <w:vAlign w:val="center"/>
                </w:tcPr>
                <w:p w:rsidR="00585472" w:rsidRDefault="00585472" w:rsidP="005E542D">
                  <w:pPr>
                    <w:pStyle w:val="NormalWeb"/>
                    <w:framePr w:hSpace="45" w:wrap="around" w:vAnchor="text" w:hAnchor="text"/>
                  </w:pPr>
                </w:p>
              </w:tc>
              <w:tc>
                <w:tcPr>
                  <w:tcW w:w="810" w:type="dxa"/>
                  <w:vAlign w:val="center"/>
                </w:tcPr>
                <w:p w:rsidR="00585472" w:rsidRDefault="00585472" w:rsidP="005E542D">
                  <w:pPr>
                    <w:pStyle w:val="NormalWeb"/>
                    <w:framePr w:hSpace="45" w:wrap="around" w:vAnchor="text" w:hAnchor="text"/>
                  </w:pPr>
                </w:p>
              </w:tc>
            </w:tr>
          </w:tbl>
          <w:p w:rsidR="0013392C" w:rsidRDefault="0013392C">
            <w:pPr>
              <w:rPr>
                <w:rFonts w:eastAsia="Times New Roman"/>
              </w:rPr>
            </w:pPr>
          </w:p>
        </w:tc>
      </w:tr>
      <w:tr w:rsidR="0013392C">
        <w:trPr>
          <w:tblCellSpacing w:w="15" w:type="dxa"/>
        </w:trPr>
        <w:tc>
          <w:tcPr>
            <w:tcW w:w="5000" w:type="pct"/>
            <w:gridSpan w:val="2"/>
            <w:vAlign w:val="center"/>
            <w:hideMark/>
          </w:tcPr>
          <w:p w:rsidR="005E542D" w:rsidRDefault="00775CB0" w:rsidP="00585472">
            <w:pPr>
              <w:rPr>
                <w:rFonts w:eastAsia="Times New Roman"/>
              </w:rPr>
            </w:pPr>
            <w:r>
              <w:rPr>
                <w:rFonts w:eastAsia="Times New Roman"/>
              </w:rPr>
              <w:lastRenderedPageBreak/>
              <w:t> </w:t>
            </w:r>
            <w:bookmarkStart w:id="0" w:name="_GoBack"/>
            <w:bookmarkEnd w:id="0"/>
          </w:p>
        </w:tc>
      </w:tr>
      <w:tr w:rsidR="0013392C">
        <w:trPr>
          <w:tblCellSpacing w:w="15" w:type="dxa"/>
        </w:trPr>
        <w:tc>
          <w:tcPr>
            <w:tcW w:w="1000" w:type="pct"/>
            <w:hideMark/>
          </w:tcPr>
          <w:p w:rsidR="0013392C" w:rsidRDefault="00775CB0">
            <w:pPr>
              <w:rPr>
                <w:rFonts w:eastAsia="Times New Roman"/>
              </w:rPr>
            </w:pPr>
            <w:r>
              <w:rPr>
                <w:rFonts w:eastAsia="Times New Roman"/>
                <w:b/>
                <w:bCs/>
              </w:rPr>
              <w:t>27.21</w:t>
            </w:r>
          </w:p>
        </w:tc>
        <w:tc>
          <w:tcPr>
            <w:tcW w:w="4000" w:type="pct"/>
            <w:hideMark/>
          </w:tcPr>
          <w:p w:rsidR="0013392C" w:rsidRDefault="00775CB0">
            <w:pPr>
              <w:rPr>
                <w:rFonts w:eastAsia="Times New Roman"/>
              </w:rPr>
            </w:pPr>
            <w:r>
              <w:rPr>
                <w:rFonts w:eastAsia="Times New Roman"/>
                <w:b/>
                <w:bCs/>
                <w:i/>
                <w:iCs/>
              </w:rPr>
              <w:t>Health and Safety Report for the Period Ended 31 January 2021</w:t>
            </w:r>
          </w:p>
        </w:tc>
      </w:tr>
      <w:tr w:rsidR="0013392C">
        <w:trPr>
          <w:tblCellSpacing w:w="15" w:type="dxa"/>
        </w:trPr>
        <w:tc>
          <w:tcPr>
            <w:tcW w:w="1000" w:type="pct"/>
            <w:hideMark/>
          </w:tcPr>
          <w:p w:rsidR="0013392C" w:rsidRDefault="00775CB0">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7"/>
            </w:tblGrid>
            <w:tr w:rsidR="0013392C">
              <w:trPr>
                <w:tblCellSpacing w:w="15" w:type="dxa"/>
              </w:trPr>
              <w:tc>
                <w:tcPr>
                  <w:tcW w:w="0" w:type="auto"/>
                  <w:vAlign w:val="center"/>
                  <w:hideMark/>
                </w:tcPr>
                <w:p w:rsidR="0013392C" w:rsidRDefault="00775CB0" w:rsidP="005E542D">
                  <w:pPr>
                    <w:pStyle w:val="NormalWeb"/>
                    <w:framePr w:hSpace="45" w:wrap="around" w:vAnchor="text" w:hAnchor="text"/>
                  </w:pPr>
                  <w:r>
                    <w:t>Members gave consideration to the Health and Safety Report for the period ended 31 January 2021, which provided an analysis of accident statistics over the period, together with other Health and Safety activities including policy updates, staff training, free health checks, auditing and inspections. </w:t>
                  </w:r>
                </w:p>
                <w:p w:rsidR="005E542D" w:rsidRDefault="00775CB0" w:rsidP="005E542D">
                  <w:pPr>
                    <w:pStyle w:val="NormalWeb"/>
                    <w:framePr w:hSpace="45" w:wrap="around" w:vAnchor="text" w:hAnchor="text"/>
                  </w:pPr>
                  <w:r>
                    <w:t>Overall, the number of accidents had decreased by 56 compared to the same period last year mainly due to there being a reduced number of staff and students on campus due to the pandemic. There were no RIDDOR reportable accidents during the period.</w:t>
                  </w:r>
                  <w:r>
                    <w:br w:type="page"/>
                  </w:r>
                  <w:r>
                    <w:br w:type="page"/>
                  </w:r>
                </w:p>
                <w:p w:rsidR="0013392C" w:rsidRDefault="00775CB0" w:rsidP="005E542D">
                  <w:pPr>
                    <w:pStyle w:val="NormalWeb"/>
                    <w:framePr w:hSpace="45" w:wrap="around" w:vAnchor="text" w:hAnchor="text"/>
                  </w:pPr>
                  <w:r>
                    <w:t>Analysis indicated that of the 56 accidents –</w:t>
                  </w:r>
                </w:p>
                <w:p w:rsidR="0013392C" w:rsidRDefault="00775CB0" w:rsidP="005E542D">
                  <w:pPr>
                    <w:pStyle w:val="NormalWeb"/>
                    <w:framePr w:hSpace="45" w:wrap="around" w:vAnchor="text" w:hAnchor="text"/>
                  </w:pPr>
                  <w:r>
                    <w:t>12 (28%) were taken to hospital -12 students</w:t>
                  </w:r>
                </w:p>
                <w:p w:rsidR="0013392C" w:rsidRDefault="00775CB0" w:rsidP="005E542D">
                  <w:pPr>
                    <w:pStyle w:val="NormalWeb"/>
                    <w:framePr w:hSpace="45" w:wrap="around" w:vAnchor="text" w:hAnchor="text"/>
                  </w:pPr>
                  <w:r>
                    <w:t>21 (43%) received first aid treatment</w:t>
                  </w:r>
                </w:p>
                <w:p w:rsidR="0013392C" w:rsidRDefault="00775CB0" w:rsidP="005E542D">
                  <w:pPr>
                    <w:pStyle w:val="NormalWeb"/>
                    <w:framePr w:hSpace="45" w:wrap="around" w:vAnchor="text" w:hAnchor="text"/>
                  </w:pPr>
                  <w:r>
                    <w:t>14 (29%) needed no treatment</w:t>
                  </w:r>
                </w:p>
                <w:p w:rsidR="0013392C" w:rsidRDefault="00775CB0" w:rsidP="005E542D">
                  <w:pPr>
                    <w:pStyle w:val="NormalWeb"/>
                    <w:framePr w:hSpace="45" w:wrap="around" w:vAnchor="text" w:hAnchor="text"/>
                  </w:pPr>
                  <w:r>
                    <w:t>72% of accidents were either treated on site or required no treatment.</w:t>
                  </w:r>
                </w:p>
                <w:p w:rsidR="005E542D" w:rsidRDefault="00775CB0" w:rsidP="005E542D">
                  <w:pPr>
                    <w:pStyle w:val="NormalWeb"/>
                    <w:framePr w:hSpace="45" w:wrap="around" w:vAnchor="text" w:hAnchor="text"/>
                  </w:pPr>
                  <w:r>
                    <w:t>The report included details of recent audits, training and drills.</w:t>
                  </w:r>
                  <w:r>
                    <w:br w:type="page"/>
                  </w:r>
                  <w:r>
                    <w:br w:type="page"/>
                  </w:r>
                </w:p>
                <w:p w:rsidR="005E542D" w:rsidRDefault="00775CB0" w:rsidP="005E542D">
                  <w:pPr>
                    <w:pStyle w:val="NormalWeb"/>
                    <w:framePr w:hSpace="45" w:wrap="around" w:vAnchor="text" w:hAnchor="text"/>
                  </w:pPr>
                  <w:r>
                    <w:t xml:space="preserve">Work continues on </w:t>
                  </w:r>
                  <w:proofErr w:type="spellStart"/>
                  <w:r>
                    <w:t>Covid</w:t>
                  </w:r>
                  <w:proofErr w:type="spellEnd"/>
                  <w:r>
                    <w:t xml:space="preserve"> training, prevent measures and testing.</w:t>
                  </w:r>
                  <w:r>
                    <w:br w:type="page"/>
                  </w:r>
                  <w:r>
                    <w:br w:type="page"/>
                  </w:r>
                </w:p>
                <w:p w:rsidR="005E542D" w:rsidRDefault="00775CB0" w:rsidP="005E542D">
                  <w:pPr>
                    <w:pStyle w:val="NormalWeb"/>
                    <w:framePr w:hSpace="45" w:wrap="around" w:vAnchor="text" w:hAnchor="text"/>
                  </w:pPr>
                  <w:r>
                    <w:t>Lateral flow testing was continuing and during the period 278 students were tested with 2 returning positive results, with 263 staff tested and no positive results.</w:t>
                  </w:r>
                  <w:r>
                    <w:br w:type="page"/>
                  </w:r>
                  <w:r>
                    <w:br w:type="page"/>
                  </w:r>
                </w:p>
                <w:p w:rsidR="00974612" w:rsidRDefault="005E542D" w:rsidP="005E542D">
                  <w:pPr>
                    <w:pStyle w:val="NormalWeb"/>
                    <w:framePr w:hSpace="45" w:wrap="around" w:vAnchor="text" w:hAnchor="text"/>
                  </w:pPr>
                  <w:r>
                    <w:t>T</w:t>
                  </w:r>
                  <w:r w:rsidR="00775CB0">
                    <w:t>he majority of staff were tested twice a week and students once a week.</w:t>
                  </w:r>
                  <w:r w:rsidR="00775CB0">
                    <w:br w:type="page"/>
                  </w:r>
                  <w:r w:rsidR="00775CB0">
                    <w:br w:type="page"/>
                  </w:r>
                </w:p>
                <w:p w:rsidR="00974612" w:rsidRDefault="00775CB0" w:rsidP="005E542D">
                  <w:pPr>
                    <w:pStyle w:val="NormalWeb"/>
                    <w:framePr w:hSpace="45" w:wrap="around" w:vAnchor="text" w:hAnchor="text"/>
                  </w:pPr>
                  <w:r>
                    <w:t xml:space="preserve">A </w:t>
                  </w:r>
                  <w:proofErr w:type="spellStart"/>
                  <w:r>
                    <w:t>Covid</w:t>
                  </w:r>
                  <w:proofErr w:type="spellEnd"/>
                  <w:r>
                    <w:t xml:space="preserve"> staff survey was issued in December 2020 with 270 respondents. Questions mainly covered safety and communications with positive results above 90%.</w:t>
                  </w:r>
                  <w:r>
                    <w:br w:type="page"/>
                  </w:r>
                  <w:r>
                    <w:br w:type="page"/>
                  </w:r>
                </w:p>
                <w:p w:rsidR="00974612" w:rsidRDefault="00775CB0" w:rsidP="005E542D">
                  <w:pPr>
                    <w:pStyle w:val="NormalWeb"/>
                    <w:framePr w:hSpace="45" w:wrap="around" w:vAnchor="text" w:hAnchor="text"/>
                  </w:pPr>
                  <w:r>
                    <w:rPr>
                      <w:rStyle w:val="Strong"/>
                    </w:rPr>
                    <w:t>Resolved:</w:t>
                  </w:r>
                  <w:r>
                    <w:br w:type="page"/>
                  </w:r>
                  <w:r>
                    <w:br w:type="page"/>
                  </w:r>
                </w:p>
                <w:p w:rsidR="0013392C" w:rsidRDefault="00775CB0" w:rsidP="005E542D">
                  <w:pPr>
                    <w:pStyle w:val="NormalWeb"/>
                    <w:framePr w:hSpace="45" w:wrap="around" w:vAnchor="text" w:hAnchor="text"/>
                  </w:pPr>
                  <w:r>
                    <w:rPr>
                      <w:rStyle w:val="Strong"/>
                    </w:rPr>
                    <w:t>That the report be received.</w:t>
                  </w:r>
                </w:p>
              </w:tc>
            </w:tr>
          </w:tbl>
          <w:p w:rsidR="0013392C" w:rsidRDefault="0013392C">
            <w:pPr>
              <w:rPr>
                <w:rFonts w:eastAsia="Times New Roman"/>
              </w:rPr>
            </w:pPr>
          </w:p>
        </w:tc>
      </w:tr>
      <w:tr w:rsidR="0013392C">
        <w:trPr>
          <w:tblCellSpacing w:w="15" w:type="dxa"/>
        </w:trPr>
        <w:tc>
          <w:tcPr>
            <w:tcW w:w="5000" w:type="pct"/>
            <w:gridSpan w:val="2"/>
            <w:vAlign w:val="center"/>
            <w:hideMark/>
          </w:tcPr>
          <w:p w:rsidR="0013392C" w:rsidRDefault="00775CB0">
            <w:pPr>
              <w:rPr>
                <w:rFonts w:eastAsia="Times New Roman"/>
              </w:rPr>
            </w:pPr>
            <w:r>
              <w:rPr>
                <w:rFonts w:eastAsia="Times New Roman"/>
              </w:rPr>
              <w:t> </w:t>
            </w:r>
          </w:p>
        </w:tc>
      </w:tr>
    </w:tbl>
    <w:p w:rsidR="0013392C" w:rsidRDefault="0013392C">
      <w:pPr>
        <w:pStyle w:val="NormalWeb"/>
        <w:pageBreakBefore/>
        <w:spacing w:before="0" w:beforeAutospacing="0" w:after="0" w:afterAutospacing="0"/>
        <w:rPr>
          <w:vanish/>
        </w:rPr>
      </w:pPr>
    </w:p>
    <w:sectPr w:rsidR="00133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265"/>
    <w:multiLevelType w:val="multilevel"/>
    <w:tmpl w:val="7C0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CA"/>
    <w:rsid w:val="0013392C"/>
    <w:rsid w:val="00585472"/>
    <w:rsid w:val="005E542D"/>
    <w:rsid w:val="00775CB0"/>
    <w:rsid w:val="007C478E"/>
    <w:rsid w:val="008667CA"/>
    <w:rsid w:val="0097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A891B-B55A-4183-BAB3-8E8853AC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4</cp:revision>
  <dcterms:created xsi:type="dcterms:W3CDTF">2021-08-17T08:59:00Z</dcterms:created>
  <dcterms:modified xsi:type="dcterms:W3CDTF">2021-08-17T09:23:00Z</dcterms:modified>
</cp:coreProperties>
</file>