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000000">
        <w:trPr>
          <w:tblCellSpacing w:w="15" w:type="dxa"/>
        </w:trPr>
        <w:tc>
          <w:tcPr>
            <w:tcW w:w="5000" w:type="pct"/>
            <w:gridSpan w:val="7"/>
            <w:shd w:val="clear" w:color="auto" w:fill="FF9263"/>
            <w:vAlign w:val="center"/>
            <w:hideMark/>
          </w:tcPr>
          <w:p w:rsidR="00000000" w:rsidRDefault="00470610">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9263"/>
            <w:vAlign w:val="center"/>
            <w:hideMark/>
          </w:tcPr>
          <w:p w:rsidR="00000000" w:rsidRDefault="00470610">
            <w:pPr>
              <w:rPr>
                <w:rFonts w:eastAsia="Times New Roman"/>
              </w:rPr>
            </w:pPr>
            <w:r>
              <w:rPr>
                <w:rFonts w:eastAsia="Times New Roman"/>
              </w:rPr>
              <w:t> </w:t>
            </w:r>
          </w:p>
        </w:tc>
      </w:tr>
      <w:tr w:rsidR="00000000">
        <w:trPr>
          <w:tblCellSpacing w:w="15" w:type="dxa"/>
        </w:trPr>
        <w:tc>
          <w:tcPr>
            <w:tcW w:w="5000" w:type="pct"/>
            <w:gridSpan w:val="7"/>
            <w:shd w:val="clear" w:color="auto" w:fill="FF9263"/>
            <w:hideMark/>
          </w:tcPr>
          <w:p w:rsidR="00000000" w:rsidRDefault="00470610">
            <w:pPr>
              <w:jc w:val="center"/>
              <w:rPr>
                <w:rFonts w:eastAsia="Times New Roman"/>
                <w:color w:val="000000"/>
              </w:rPr>
            </w:pPr>
            <w:r>
              <w:rPr>
                <w:rFonts w:eastAsia="Times New Roman"/>
                <w:i/>
                <w:iCs/>
                <w:color w:val="000000"/>
              </w:rPr>
              <w:t>Finance and Resources Committee No 30</w:t>
            </w:r>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r w:rsidR="00000000">
        <w:trPr>
          <w:tblCellSpacing w:w="15" w:type="dxa"/>
        </w:trPr>
        <w:tc>
          <w:tcPr>
            <w:tcW w:w="500" w:type="pct"/>
            <w:hideMark/>
          </w:tcPr>
          <w:p w:rsidR="00000000" w:rsidRDefault="00470610">
            <w:pPr>
              <w:jc w:val="right"/>
              <w:rPr>
                <w:rFonts w:eastAsia="Times New Roman"/>
              </w:rPr>
            </w:pPr>
            <w:r>
              <w:rPr>
                <w:rFonts w:eastAsia="Times New Roman"/>
              </w:rPr>
              <w:t>Date:</w:t>
            </w:r>
          </w:p>
        </w:tc>
        <w:tc>
          <w:tcPr>
            <w:tcW w:w="50" w:type="pct"/>
            <w:vAlign w:val="center"/>
            <w:hideMark/>
          </w:tcPr>
          <w:p w:rsidR="00000000" w:rsidRDefault="00470610">
            <w:pPr>
              <w:rPr>
                <w:rFonts w:eastAsia="Times New Roman"/>
              </w:rPr>
            </w:pPr>
            <w:r>
              <w:rPr>
                <w:rFonts w:eastAsia="Times New Roman"/>
              </w:rPr>
              <w:t> </w:t>
            </w:r>
          </w:p>
        </w:tc>
        <w:tc>
          <w:tcPr>
            <w:tcW w:w="1750" w:type="pct"/>
            <w:hideMark/>
          </w:tcPr>
          <w:p w:rsidR="00000000" w:rsidRDefault="00470610">
            <w:pPr>
              <w:rPr>
                <w:rFonts w:eastAsia="Times New Roman"/>
              </w:rPr>
            </w:pPr>
            <w:r>
              <w:rPr>
                <w:rFonts w:eastAsia="Times New Roman"/>
                <w:i/>
                <w:iCs/>
              </w:rPr>
              <w:t>10/03/2020 (Tuesday)</w:t>
            </w:r>
          </w:p>
        </w:tc>
        <w:tc>
          <w:tcPr>
            <w:tcW w:w="100" w:type="pct"/>
            <w:vAlign w:val="center"/>
            <w:hideMark/>
          </w:tcPr>
          <w:p w:rsidR="00000000" w:rsidRDefault="00470610">
            <w:pPr>
              <w:rPr>
                <w:rFonts w:eastAsia="Times New Roman"/>
              </w:rPr>
            </w:pPr>
            <w:r>
              <w:rPr>
                <w:rFonts w:eastAsia="Times New Roman"/>
              </w:rPr>
              <w:t> </w:t>
            </w:r>
          </w:p>
        </w:tc>
        <w:tc>
          <w:tcPr>
            <w:tcW w:w="500" w:type="pct"/>
            <w:hideMark/>
          </w:tcPr>
          <w:p w:rsidR="00000000" w:rsidRDefault="00470610">
            <w:pPr>
              <w:jc w:val="right"/>
              <w:rPr>
                <w:rFonts w:eastAsia="Times New Roman"/>
              </w:rPr>
            </w:pPr>
            <w:r>
              <w:rPr>
                <w:rFonts w:eastAsia="Times New Roman"/>
              </w:rPr>
              <w:t>Time:</w:t>
            </w:r>
          </w:p>
        </w:tc>
        <w:tc>
          <w:tcPr>
            <w:tcW w:w="50" w:type="pct"/>
            <w:vAlign w:val="center"/>
            <w:hideMark/>
          </w:tcPr>
          <w:p w:rsidR="00000000" w:rsidRDefault="00470610">
            <w:pPr>
              <w:rPr>
                <w:rFonts w:eastAsia="Times New Roman"/>
              </w:rPr>
            </w:pPr>
            <w:r>
              <w:rPr>
                <w:rFonts w:eastAsia="Times New Roman"/>
              </w:rPr>
              <w:t> </w:t>
            </w:r>
          </w:p>
        </w:tc>
        <w:tc>
          <w:tcPr>
            <w:tcW w:w="1750" w:type="pct"/>
            <w:hideMark/>
          </w:tcPr>
          <w:p w:rsidR="00000000" w:rsidRDefault="00470610">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r w:rsidR="00000000">
        <w:trPr>
          <w:tblCellSpacing w:w="15" w:type="dxa"/>
        </w:trPr>
        <w:tc>
          <w:tcPr>
            <w:tcW w:w="500" w:type="pct"/>
            <w:hideMark/>
          </w:tcPr>
          <w:p w:rsidR="00000000" w:rsidRDefault="00470610">
            <w:pPr>
              <w:jc w:val="right"/>
              <w:rPr>
                <w:rFonts w:eastAsia="Times New Roman"/>
              </w:rPr>
            </w:pPr>
            <w:r>
              <w:rPr>
                <w:rFonts w:eastAsia="Times New Roman"/>
              </w:rPr>
              <w:t>Venue:</w:t>
            </w:r>
          </w:p>
        </w:tc>
        <w:tc>
          <w:tcPr>
            <w:tcW w:w="50" w:type="pct"/>
            <w:vAlign w:val="center"/>
            <w:hideMark/>
          </w:tcPr>
          <w:p w:rsidR="00000000" w:rsidRDefault="00470610">
            <w:pPr>
              <w:rPr>
                <w:rFonts w:eastAsia="Times New Roman"/>
              </w:rPr>
            </w:pPr>
            <w:r>
              <w:rPr>
                <w:rFonts w:eastAsia="Times New Roman"/>
              </w:rPr>
              <w:t> </w:t>
            </w:r>
          </w:p>
        </w:tc>
        <w:tc>
          <w:tcPr>
            <w:tcW w:w="1750" w:type="pct"/>
            <w:hideMark/>
          </w:tcPr>
          <w:p w:rsidR="00000000" w:rsidRDefault="00470610">
            <w:pPr>
              <w:rPr>
                <w:rFonts w:eastAsia="Times New Roman"/>
              </w:rPr>
            </w:pPr>
            <w:r>
              <w:rPr>
                <w:rFonts w:eastAsia="Times New Roman"/>
                <w:i/>
                <w:iCs/>
              </w:rPr>
              <w:t>Rural Business Centre</w:t>
            </w:r>
          </w:p>
        </w:tc>
        <w:tc>
          <w:tcPr>
            <w:tcW w:w="100" w:type="pct"/>
            <w:vAlign w:val="center"/>
            <w:hideMark/>
          </w:tcPr>
          <w:p w:rsidR="00000000" w:rsidRDefault="00470610">
            <w:pPr>
              <w:rPr>
                <w:rFonts w:eastAsia="Times New Roman"/>
              </w:rPr>
            </w:pPr>
            <w:r>
              <w:rPr>
                <w:rFonts w:eastAsia="Times New Roman"/>
              </w:rPr>
              <w:t> </w:t>
            </w:r>
          </w:p>
        </w:tc>
        <w:tc>
          <w:tcPr>
            <w:tcW w:w="500" w:type="pct"/>
            <w:hideMark/>
          </w:tcPr>
          <w:p w:rsidR="00000000" w:rsidRDefault="00470610">
            <w:pPr>
              <w:jc w:val="right"/>
              <w:rPr>
                <w:rFonts w:eastAsia="Times New Roman"/>
              </w:rPr>
            </w:pPr>
            <w:r>
              <w:rPr>
                <w:rFonts w:eastAsia="Times New Roman"/>
              </w:rPr>
              <w:t>Committee:</w:t>
            </w:r>
          </w:p>
        </w:tc>
        <w:tc>
          <w:tcPr>
            <w:tcW w:w="50" w:type="pct"/>
            <w:vAlign w:val="center"/>
            <w:hideMark/>
          </w:tcPr>
          <w:p w:rsidR="00000000" w:rsidRDefault="00470610">
            <w:pPr>
              <w:rPr>
                <w:rFonts w:eastAsia="Times New Roman"/>
              </w:rPr>
            </w:pPr>
            <w:r>
              <w:rPr>
                <w:rFonts w:eastAsia="Times New Roman"/>
              </w:rPr>
              <w:t> </w:t>
            </w:r>
          </w:p>
        </w:tc>
        <w:tc>
          <w:tcPr>
            <w:tcW w:w="1750" w:type="pct"/>
            <w:hideMark/>
          </w:tcPr>
          <w:p w:rsidR="00000000" w:rsidRDefault="00470610">
            <w:pPr>
              <w:rPr>
                <w:rFonts w:eastAsia="Times New Roman"/>
              </w:rPr>
            </w:pPr>
            <w:r>
              <w:rPr>
                <w:rFonts w:eastAsia="Times New Roman"/>
                <w:i/>
                <w:iCs/>
              </w:rPr>
              <w:t>Finance and Resources</w:t>
            </w:r>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r w:rsidR="00000000">
        <w:trPr>
          <w:tblCellSpacing w:w="15" w:type="dxa"/>
        </w:trPr>
        <w:tc>
          <w:tcPr>
            <w:tcW w:w="500" w:type="pct"/>
            <w:hideMark/>
          </w:tcPr>
          <w:p w:rsidR="00000000" w:rsidRDefault="00470610">
            <w:pPr>
              <w:jc w:val="right"/>
              <w:rPr>
                <w:rFonts w:eastAsia="Times New Roman"/>
              </w:rPr>
            </w:pPr>
            <w:r>
              <w:rPr>
                <w:rFonts w:eastAsia="Times New Roman"/>
              </w:rPr>
              <w:t>Notes:</w:t>
            </w:r>
          </w:p>
        </w:tc>
        <w:tc>
          <w:tcPr>
            <w:tcW w:w="50" w:type="pct"/>
            <w:vAlign w:val="center"/>
            <w:hideMark/>
          </w:tcPr>
          <w:p w:rsidR="00000000" w:rsidRDefault="00470610">
            <w:pPr>
              <w:rPr>
                <w:rFonts w:eastAsia="Times New Roman"/>
              </w:rPr>
            </w:pPr>
            <w:r>
              <w:rPr>
                <w:rFonts w:eastAsia="Times New Roman"/>
              </w:rPr>
              <w:t> </w:t>
            </w:r>
          </w:p>
        </w:tc>
        <w:tc>
          <w:tcPr>
            <w:tcW w:w="2700" w:type="pct"/>
            <w:gridSpan w:val="5"/>
            <w:hideMark/>
          </w:tcPr>
          <w:p w:rsidR="00000000" w:rsidRDefault="00470610">
            <w:pPr>
              <w:rPr>
                <w:rFonts w:eastAsia="Times New Roman"/>
              </w:rPr>
            </w:pPr>
            <w:r>
              <w:rPr>
                <w:rFonts w:eastAsia="Times New Roman"/>
                <w:i/>
                <w:iCs/>
              </w:rPr>
              <w:t>Vouchers will be issued to enable refreshments to be obtained from the College Restaurant prior to the meeting. Tea and Coffee will be available in the meeting.</w:t>
            </w:r>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r w:rsidR="00000000">
        <w:trPr>
          <w:tblCellSpacing w:w="15" w:type="dxa"/>
        </w:trPr>
        <w:tc>
          <w:tcPr>
            <w:tcW w:w="500" w:type="pct"/>
            <w:hideMark/>
          </w:tcPr>
          <w:p w:rsidR="00000000" w:rsidRDefault="00470610">
            <w:pPr>
              <w:jc w:val="right"/>
              <w:rPr>
                <w:rFonts w:eastAsia="Times New Roman"/>
              </w:rPr>
            </w:pPr>
            <w:r>
              <w:rPr>
                <w:rFonts w:eastAsia="Times New Roman"/>
              </w:rPr>
              <w:t>Present:</w:t>
            </w:r>
          </w:p>
        </w:tc>
        <w:tc>
          <w:tcPr>
            <w:tcW w:w="50" w:type="pct"/>
            <w:vAlign w:val="center"/>
            <w:hideMark/>
          </w:tcPr>
          <w:p w:rsidR="00000000" w:rsidRDefault="00470610">
            <w:pPr>
              <w:rPr>
                <w:rFonts w:eastAsia="Times New Roman"/>
              </w:rPr>
            </w:pPr>
            <w:r>
              <w:rPr>
                <w:rFonts w:eastAsia="Times New Roman"/>
              </w:rPr>
              <w:t> </w:t>
            </w:r>
          </w:p>
        </w:tc>
        <w:tc>
          <w:tcPr>
            <w:tcW w:w="2700" w:type="pct"/>
            <w:gridSpan w:val="5"/>
            <w:hideMark/>
          </w:tcPr>
          <w:p w:rsidR="00000000" w:rsidRDefault="00470610">
            <w:pPr>
              <w:rPr>
                <w:rFonts w:eastAsia="Times New Roman"/>
              </w:rPr>
            </w:pPr>
            <w:r>
              <w:rPr>
                <w:rFonts w:eastAsia="Times New Roman"/>
                <w:i/>
                <w:iCs/>
              </w:rPr>
              <w:t xml:space="preserve">Alison Robinson (Principal), David Hall, Ian Higginbotham (Chairman), John </w:t>
            </w:r>
            <w:proofErr w:type="spellStart"/>
            <w:r>
              <w:rPr>
                <w:rFonts w:eastAsia="Times New Roman"/>
                <w:i/>
                <w:iCs/>
              </w:rPr>
              <w:t>Morphet</w:t>
            </w:r>
            <w:proofErr w:type="spellEnd"/>
            <w:r>
              <w:rPr>
                <w:rFonts w:eastAsia="Times New Roman"/>
                <w:i/>
                <w:iCs/>
              </w:rPr>
              <w:t xml:space="preserve">, Richard </w:t>
            </w:r>
            <w:proofErr w:type="spellStart"/>
            <w:r>
              <w:rPr>
                <w:rFonts w:eastAsia="Times New Roman"/>
                <w:i/>
                <w:iCs/>
              </w:rPr>
              <w:t>Furnival</w:t>
            </w:r>
            <w:proofErr w:type="spellEnd"/>
            <w:r>
              <w:rPr>
                <w:rFonts w:eastAsia="Times New Roman"/>
                <w:i/>
                <w:iCs/>
              </w:rPr>
              <w:t xml:space="preserve"> (Vice Chairman), Stuart </w:t>
            </w:r>
            <w:proofErr w:type="spellStart"/>
            <w:r>
              <w:rPr>
                <w:rFonts w:eastAsia="Times New Roman"/>
                <w:i/>
                <w:iCs/>
              </w:rPr>
              <w:t>Heys</w:t>
            </w:r>
            <w:proofErr w:type="spellEnd"/>
            <w:r>
              <w:rPr>
                <w:rFonts w:eastAsia="Times New Roman"/>
                <w:i/>
                <w:iCs/>
              </w:rPr>
              <w:t xml:space="preserve"> and Sue </w:t>
            </w:r>
            <w:proofErr w:type="spellStart"/>
            <w:r>
              <w:rPr>
                <w:rFonts w:eastAsia="Times New Roman"/>
                <w:i/>
                <w:iCs/>
              </w:rPr>
              <w:t>Collinge</w:t>
            </w:r>
            <w:proofErr w:type="spellEnd"/>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r w:rsidR="00000000">
        <w:trPr>
          <w:tblCellSpacing w:w="15" w:type="dxa"/>
        </w:trPr>
        <w:tc>
          <w:tcPr>
            <w:tcW w:w="500" w:type="pct"/>
            <w:hideMark/>
          </w:tcPr>
          <w:p w:rsidR="00000000" w:rsidRDefault="00470610">
            <w:pPr>
              <w:jc w:val="right"/>
              <w:rPr>
                <w:rFonts w:eastAsia="Times New Roman"/>
              </w:rPr>
            </w:pPr>
            <w:r>
              <w:rPr>
                <w:rFonts w:eastAsia="Times New Roman"/>
              </w:rPr>
              <w:t>Attending:</w:t>
            </w:r>
          </w:p>
        </w:tc>
        <w:tc>
          <w:tcPr>
            <w:tcW w:w="50" w:type="pct"/>
            <w:vAlign w:val="center"/>
            <w:hideMark/>
          </w:tcPr>
          <w:p w:rsidR="00000000" w:rsidRDefault="00470610">
            <w:pPr>
              <w:rPr>
                <w:rFonts w:eastAsia="Times New Roman"/>
              </w:rPr>
            </w:pPr>
            <w:r>
              <w:rPr>
                <w:rFonts w:eastAsia="Times New Roman"/>
              </w:rPr>
              <w:t> </w:t>
            </w:r>
          </w:p>
        </w:tc>
        <w:tc>
          <w:tcPr>
            <w:tcW w:w="2700" w:type="pct"/>
            <w:gridSpan w:val="5"/>
            <w:hideMark/>
          </w:tcPr>
          <w:p w:rsidR="00000000" w:rsidRDefault="00470610">
            <w:pPr>
              <w:rPr>
                <w:rFonts w:eastAsia="Times New Roman"/>
              </w:rPr>
            </w:pPr>
            <w:r>
              <w:rPr>
                <w:rFonts w:eastAsia="Times New Roman"/>
                <w:i/>
                <w:iCs/>
              </w:rPr>
              <w:t>Janet Whiteside (Deputy Principal), Joanne Sherrington (Deputy Principal), John Wh</w:t>
            </w:r>
            <w:r>
              <w:rPr>
                <w:rFonts w:eastAsia="Times New Roman"/>
                <w:i/>
                <w:iCs/>
              </w:rPr>
              <w:t xml:space="preserve">erry (Deputy Principal) and Steven </w:t>
            </w:r>
            <w:proofErr w:type="spellStart"/>
            <w:r>
              <w:rPr>
                <w:rFonts w:eastAsia="Times New Roman"/>
                <w:i/>
                <w:iCs/>
              </w:rPr>
              <w:t>Downham</w:t>
            </w:r>
            <w:proofErr w:type="spellEnd"/>
            <w:r>
              <w:rPr>
                <w:rFonts w:eastAsia="Times New Roman"/>
                <w:i/>
                <w:iCs/>
              </w:rPr>
              <w:t>-Clarke (Vice Principal)</w:t>
            </w:r>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r w:rsidR="00000000">
        <w:trPr>
          <w:tblCellSpacing w:w="15" w:type="dxa"/>
        </w:trPr>
        <w:tc>
          <w:tcPr>
            <w:tcW w:w="500" w:type="pct"/>
            <w:hideMark/>
          </w:tcPr>
          <w:p w:rsidR="00000000" w:rsidRDefault="00470610">
            <w:pPr>
              <w:jc w:val="right"/>
              <w:rPr>
                <w:rFonts w:eastAsia="Times New Roman"/>
              </w:rPr>
            </w:pPr>
            <w:r>
              <w:rPr>
                <w:rFonts w:eastAsia="Times New Roman"/>
              </w:rPr>
              <w:t>Clerks:</w:t>
            </w:r>
          </w:p>
        </w:tc>
        <w:tc>
          <w:tcPr>
            <w:tcW w:w="50" w:type="pct"/>
            <w:vAlign w:val="center"/>
            <w:hideMark/>
          </w:tcPr>
          <w:p w:rsidR="00000000" w:rsidRDefault="00470610">
            <w:pPr>
              <w:rPr>
                <w:rFonts w:eastAsia="Times New Roman"/>
              </w:rPr>
            </w:pPr>
            <w:r>
              <w:rPr>
                <w:rFonts w:eastAsia="Times New Roman"/>
              </w:rPr>
              <w:t> </w:t>
            </w:r>
          </w:p>
        </w:tc>
        <w:tc>
          <w:tcPr>
            <w:tcW w:w="2700" w:type="pct"/>
            <w:gridSpan w:val="5"/>
            <w:hideMark/>
          </w:tcPr>
          <w:p w:rsidR="00000000" w:rsidRDefault="00470610">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r w:rsidR="00000000">
        <w:trPr>
          <w:tblCellSpacing w:w="15" w:type="dxa"/>
        </w:trPr>
        <w:tc>
          <w:tcPr>
            <w:tcW w:w="500" w:type="pct"/>
            <w:hideMark/>
          </w:tcPr>
          <w:p w:rsidR="00000000" w:rsidRDefault="00470610">
            <w:pPr>
              <w:jc w:val="right"/>
              <w:rPr>
                <w:rFonts w:eastAsia="Times New Roman"/>
              </w:rPr>
            </w:pPr>
            <w:r>
              <w:rPr>
                <w:rFonts w:eastAsia="Times New Roman"/>
              </w:rPr>
              <w:t>Apologies:</w:t>
            </w:r>
          </w:p>
        </w:tc>
        <w:tc>
          <w:tcPr>
            <w:tcW w:w="50" w:type="pct"/>
            <w:vAlign w:val="center"/>
            <w:hideMark/>
          </w:tcPr>
          <w:p w:rsidR="00000000" w:rsidRDefault="00470610">
            <w:pPr>
              <w:rPr>
                <w:rFonts w:eastAsia="Times New Roman"/>
              </w:rPr>
            </w:pPr>
            <w:r>
              <w:rPr>
                <w:rFonts w:eastAsia="Times New Roman"/>
              </w:rPr>
              <w:t> </w:t>
            </w:r>
          </w:p>
        </w:tc>
        <w:tc>
          <w:tcPr>
            <w:tcW w:w="2700" w:type="pct"/>
            <w:gridSpan w:val="5"/>
            <w:hideMark/>
          </w:tcPr>
          <w:p w:rsidR="00000000" w:rsidRDefault="00470610">
            <w:pPr>
              <w:rPr>
                <w:rFonts w:eastAsia="Times New Roman"/>
              </w:rPr>
            </w:pPr>
            <w:r>
              <w:rPr>
                <w:rFonts w:eastAsia="Times New Roman"/>
                <w:i/>
                <w:iCs/>
              </w:rPr>
              <w:t>Clare James</w:t>
            </w:r>
          </w:p>
        </w:tc>
      </w:tr>
      <w:tr w:rsidR="00000000">
        <w:trPr>
          <w:tblCellSpacing w:w="15" w:type="dxa"/>
        </w:trPr>
        <w:tc>
          <w:tcPr>
            <w:tcW w:w="5000" w:type="pct"/>
            <w:gridSpan w:val="7"/>
            <w:vAlign w:val="center"/>
            <w:hideMark/>
          </w:tcPr>
          <w:p w:rsidR="00000000" w:rsidRDefault="00470610">
            <w:pPr>
              <w:rPr>
                <w:rFonts w:eastAsia="Times New Roman"/>
              </w:rPr>
            </w:pPr>
            <w:r>
              <w:rPr>
                <w:rFonts w:eastAsia="Times New Roman"/>
              </w:rPr>
              <w:t> </w:t>
            </w:r>
          </w:p>
        </w:tc>
      </w:tr>
    </w:tbl>
    <w:p w:rsidR="00000000" w:rsidRDefault="00470610">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470610">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rPr>
              <w:t>Item number:</w:t>
            </w:r>
          </w:p>
        </w:tc>
        <w:tc>
          <w:tcPr>
            <w:tcW w:w="4000" w:type="pct"/>
            <w:hideMark/>
          </w:tcPr>
          <w:p w:rsidR="00000000" w:rsidRDefault="00470610">
            <w:pPr>
              <w:rPr>
                <w:rFonts w:eastAsia="Times New Roman"/>
              </w:rPr>
            </w:pPr>
            <w:r>
              <w:rPr>
                <w:rFonts w:eastAsia="Times New Roman"/>
              </w:rPr>
              <w:t>Item description:</w:t>
            </w:r>
          </w:p>
        </w:tc>
      </w:tr>
      <w:tr w:rsidR="00000000">
        <w:trPr>
          <w:tblCellSpacing w:w="15" w:type="dxa"/>
        </w:trPr>
        <w:tc>
          <w:tcPr>
            <w:tcW w:w="1000" w:type="pct"/>
            <w:hideMark/>
          </w:tcPr>
          <w:p w:rsidR="00000000" w:rsidRDefault="00470610">
            <w:pPr>
              <w:rPr>
                <w:rFonts w:eastAsia="Times New Roman"/>
              </w:rPr>
            </w:pPr>
            <w:r>
              <w:rPr>
                <w:rFonts w:eastAsia="Times New Roman"/>
              </w:rPr>
              <w:t>(and category)</w:t>
            </w:r>
          </w:p>
        </w:tc>
        <w:tc>
          <w:tcPr>
            <w:tcW w:w="4000" w:type="pct"/>
            <w:hideMark/>
          </w:tcPr>
          <w:p w:rsidR="00000000" w:rsidRDefault="00470610">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b/>
                <w:bCs/>
              </w:rPr>
              <w:t>01.20</w:t>
            </w:r>
          </w:p>
        </w:tc>
        <w:tc>
          <w:tcPr>
            <w:tcW w:w="4000" w:type="pct"/>
            <w:hideMark/>
          </w:tcPr>
          <w:p w:rsidR="00000000" w:rsidRDefault="00470610">
            <w:pPr>
              <w:rPr>
                <w:rFonts w:eastAsia="Times New Roman"/>
              </w:rPr>
            </w:pPr>
            <w:r>
              <w:rPr>
                <w:rFonts w:eastAsia="Times New Roman"/>
                <w:b/>
                <w:bCs/>
                <w:i/>
                <w:iCs/>
              </w:rPr>
              <w:t>Attendance of College Management Staff</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6D5B48" w:rsidRDefault="00470610">
            <w:pPr>
              <w:rPr>
                <w:rFonts w:eastAsia="Times New Roman"/>
              </w:rPr>
            </w:pPr>
            <w:r>
              <w:rPr>
                <w:rFonts w:eastAsia="Times New Roman"/>
              </w:rPr>
              <w:t>Section 8.2 of the current Constitution and Terms of Reference for the Finance &amp; Resources Committee states:</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i/>
                <w:iCs/>
              </w:rPr>
            </w:pP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6D5B48" w:rsidRDefault="006D5B48">
            <w:pPr>
              <w:rPr>
                <w:rFonts w:eastAsia="Times New Roman"/>
                <w:i/>
                <w:iCs/>
              </w:rPr>
            </w:pPr>
          </w:p>
          <w:p w:rsidR="006D5B48" w:rsidRDefault="00470610">
            <w:pPr>
              <w:rPr>
                <w:rFonts w:eastAsia="Times New Roman"/>
              </w:rPr>
            </w:pPr>
            <w:r>
              <w:rPr>
                <w:rStyle w:val="Strong"/>
                <w:rFonts w:eastAsia="Times New Roman"/>
              </w:rPr>
              <w:t>Resolved:</w:t>
            </w:r>
            <w:r>
              <w:rPr>
                <w:rFonts w:eastAsia="Times New Roman"/>
              </w:rPr>
              <w:br w:type="page"/>
            </w:r>
            <w:r>
              <w:rPr>
                <w:rFonts w:eastAsia="Times New Roman"/>
              </w:rPr>
              <w:br w:type="page"/>
            </w:r>
          </w:p>
          <w:p w:rsidR="006D5B48" w:rsidRDefault="006D5B48">
            <w:pPr>
              <w:rPr>
                <w:rFonts w:eastAsia="Times New Roman"/>
              </w:rPr>
            </w:pPr>
          </w:p>
          <w:p w:rsidR="00000000" w:rsidRDefault="00470610">
            <w:pPr>
              <w:rPr>
                <w:rFonts w:eastAsia="Times New Roman"/>
              </w:rPr>
            </w:pPr>
            <w:r>
              <w:rPr>
                <w:rStyle w:val="Strong"/>
                <w:rFonts w:eastAsia="Times New Roman"/>
              </w:rPr>
              <w:t>That</w:t>
            </w:r>
            <w:r>
              <w:rPr>
                <w:rFonts w:eastAsia="Times New Roman"/>
              </w:rPr>
              <w:t xml:space="preserve"> </w:t>
            </w:r>
            <w:r>
              <w:rPr>
                <w:rStyle w:val="Strong"/>
                <w:rFonts w:eastAsia="Times New Roman"/>
              </w:rPr>
              <w:t>College Management Staff attend the meeting.</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b/>
                <w:bCs/>
              </w:rPr>
              <w:t>02.20</w:t>
            </w:r>
          </w:p>
        </w:tc>
        <w:tc>
          <w:tcPr>
            <w:tcW w:w="4000" w:type="pct"/>
            <w:hideMark/>
          </w:tcPr>
          <w:p w:rsidR="00000000" w:rsidRDefault="00470610">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Record</w:t>
            </w:r>
          </w:p>
        </w:tc>
        <w:tc>
          <w:tcPr>
            <w:tcW w:w="4000" w:type="pct"/>
            <w:hideMark/>
          </w:tcPr>
          <w:p w:rsidR="00000000" w:rsidRDefault="00470610">
            <w:pPr>
              <w:rPr>
                <w:rFonts w:eastAsia="Times New Roman"/>
              </w:rPr>
            </w:pPr>
            <w:r>
              <w:rPr>
                <w:rFonts w:eastAsia="Times New Roman"/>
              </w:rPr>
              <w:t>Apologies had been received from Clare James.</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b/>
                <w:bCs/>
              </w:rPr>
              <w:t>0</w:t>
            </w:r>
            <w:r>
              <w:rPr>
                <w:rFonts w:eastAsia="Times New Roman"/>
                <w:b/>
                <w:bCs/>
              </w:rPr>
              <w:t>3.20</w:t>
            </w:r>
          </w:p>
        </w:tc>
        <w:tc>
          <w:tcPr>
            <w:tcW w:w="4000" w:type="pct"/>
            <w:hideMark/>
          </w:tcPr>
          <w:p w:rsidR="00000000" w:rsidRDefault="00470610">
            <w:pPr>
              <w:rPr>
                <w:rFonts w:eastAsia="Times New Roman"/>
              </w:rPr>
            </w:pPr>
            <w:r>
              <w:rPr>
                <w:rFonts w:eastAsia="Times New Roman"/>
                <w:b/>
                <w:bCs/>
                <w:i/>
                <w:iCs/>
              </w:rPr>
              <w:t>Public Minutes of Previous Meeting</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000000" w:rsidRDefault="00470610">
            <w:pPr>
              <w:rPr>
                <w:rFonts w:eastAsia="Times New Roman"/>
              </w:rPr>
            </w:pPr>
            <w:r>
              <w:rPr>
                <w:rFonts w:eastAsia="Times New Roman"/>
              </w:rPr>
              <w:t>The public minutes of the Finance &amp; Resources Committee meeting number 29 held on 3 December 2019 (published on the extranet) were agreed and signed as a true and correct representation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b/>
                <w:bCs/>
              </w:rPr>
              <w:t>04.20</w:t>
            </w:r>
          </w:p>
        </w:tc>
        <w:tc>
          <w:tcPr>
            <w:tcW w:w="4000" w:type="pct"/>
            <w:hideMark/>
          </w:tcPr>
          <w:p w:rsidR="00000000" w:rsidRDefault="00470610">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Record</w:t>
            </w:r>
          </w:p>
        </w:tc>
        <w:tc>
          <w:tcPr>
            <w:tcW w:w="4000" w:type="pct"/>
            <w:hideMark/>
          </w:tcPr>
          <w:p w:rsidR="00000000" w:rsidRDefault="00470610">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b/>
                <w:bCs/>
              </w:rPr>
              <w:t>05.20</w:t>
            </w:r>
          </w:p>
        </w:tc>
        <w:tc>
          <w:tcPr>
            <w:tcW w:w="4000" w:type="pct"/>
            <w:hideMark/>
          </w:tcPr>
          <w:p w:rsidR="00000000" w:rsidRDefault="00470610">
            <w:pPr>
              <w:rPr>
                <w:rFonts w:eastAsia="Times New Roman"/>
              </w:rPr>
            </w:pPr>
            <w:r>
              <w:rPr>
                <w:rFonts w:eastAsia="Times New Roman"/>
                <w:b/>
                <w:bCs/>
                <w:i/>
                <w:iCs/>
              </w:rPr>
              <w:t>Strategic Plan Progress Report</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6D5B48" w:rsidRDefault="00470610">
            <w:pPr>
              <w:rPr>
                <w:rFonts w:eastAsia="Times New Roman"/>
              </w:rPr>
            </w:pPr>
            <w:r>
              <w:rPr>
                <w:rFonts w:eastAsia="Times New Roman"/>
              </w:rPr>
              <w:t>The Committee considered the Strategic Plan Progress Report for the Financ</w:t>
            </w:r>
            <w:r>
              <w:rPr>
                <w:rFonts w:eastAsia="Times New Roman"/>
              </w:rPr>
              <w:t>e and Resources Committee.  Alongside the report they referred to the Financial Statements. The key performance indicators related to Recruitment, the Capital Plan, Human Resources Statistics and Financial Performance.</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 xml:space="preserve">Recruitment for 16–18 year-olds was </w:t>
            </w:r>
            <w:r>
              <w:rPr>
                <w:rFonts w:eastAsia="Times New Roman"/>
              </w:rPr>
              <w:t>ahead of target by 68 students. Adult classroom-based income would be close to target by the end of the year but work was still needed to bring in the Liverpool AEB. Full time HE numbers were hoping to meet target although full time Year 1 numbers may fall</w:t>
            </w:r>
            <w:r>
              <w:rPr>
                <w:rFonts w:eastAsia="Times New Roman"/>
              </w:rPr>
              <w:t xml:space="preserve"> just short.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 xml:space="preserve">Apprenticeship income remained challenging as did full cost course recovery.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 xml:space="preserve">Staff costs as a percentage of income was 56.1% against a phased target of 56.4%. </w:t>
            </w:r>
          </w:p>
          <w:p w:rsidR="006D5B48" w:rsidRDefault="006D5B48">
            <w:pPr>
              <w:rPr>
                <w:rFonts w:eastAsia="Times New Roman"/>
              </w:rPr>
            </w:pPr>
          </w:p>
          <w:p w:rsidR="006D5B48" w:rsidRDefault="00470610">
            <w:pPr>
              <w:rPr>
                <w:rFonts w:eastAsia="Times New Roman"/>
              </w:rPr>
            </w:pPr>
            <w:r>
              <w:rPr>
                <w:rFonts w:eastAsia="Times New Roman"/>
              </w:rPr>
              <w:t xml:space="preserve">Income from Myerscough Ventures was £0.03m behind a profile target of £0.64m. </w:t>
            </w:r>
            <w:r>
              <w:rPr>
                <w:rFonts w:eastAsia="Times New Roman"/>
              </w:rPr>
              <w:br w:type="page"/>
            </w:r>
            <w:r>
              <w:rPr>
                <w:rFonts w:eastAsia="Times New Roman"/>
              </w:rPr>
              <w:br w:type="page"/>
            </w:r>
            <w:r>
              <w:rPr>
                <w:rFonts w:eastAsia="Times New Roman"/>
              </w:rPr>
              <w:t xml:space="preserve">In relation to the Capital Plan the profile for the next twelve months showed that the proposals were affordable and within the identified timescale. </w:t>
            </w:r>
          </w:p>
          <w:p w:rsidR="006D5B48" w:rsidRDefault="006D5B48">
            <w:pPr>
              <w:rPr>
                <w:rFonts w:eastAsia="Times New Roman"/>
              </w:rPr>
            </w:pPr>
          </w:p>
          <w:p w:rsidR="006D5B48" w:rsidRDefault="00470610">
            <w:pPr>
              <w:rPr>
                <w:rFonts w:eastAsia="Times New Roman"/>
              </w:rPr>
            </w:pPr>
            <w:r>
              <w:rPr>
                <w:rFonts w:eastAsia="Times New Roman"/>
              </w:rPr>
              <w:t>The report also indicated that the capital plan projects were meeting targets.</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D5B48" w:rsidRDefault="006D5B48">
            <w:pPr>
              <w:rPr>
                <w:rFonts w:eastAsia="Times New Roman"/>
                <w:b/>
                <w:bCs/>
              </w:rPr>
            </w:pPr>
          </w:p>
          <w:p w:rsidR="00000000" w:rsidRDefault="00470610">
            <w:pPr>
              <w:rPr>
                <w:rFonts w:eastAsia="Times New Roman"/>
              </w:rPr>
            </w:pPr>
            <w:r>
              <w:rPr>
                <w:rStyle w:val="Strong"/>
                <w:rFonts w:eastAsia="Times New Roman"/>
              </w:rPr>
              <w:t>That the Strate</w:t>
            </w:r>
            <w:r>
              <w:rPr>
                <w:rStyle w:val="Strong"/>
                <w:rFonts w:eastAsia="Times New Roman"/>
              </w:rPr>
              <w:t>gic Plan Update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470610">
            <w:pPr>
              <w:rPr>
                <w:rFonts w:eastAsia="Times New Roman"/>
              </w:rPr>
            </w:pPr>
            <w:r>
              <w:rPr>
                <w:rFonts w:eastAsia="Times New Roman"/>
                <w:b/>
                <w:bCs/>
              </w:rPr>
              <w:t>06.20</w:t>
            </w:r>
          </w:p>
        </w:tc>
        <w:tc>
          <w:tcPr>
            <w:tcW w:w="4000" w:type="pct"/>
            <w:hideMark/>
          </w:tcPr>
          <w:p w:rsidR="00000000" w:rsidRDefault="00470610">
            <w:pPr>
              <w:rPr>
                <w:rFonts w:eastAsia="Times New Roman"/>
              </w:rPr>
            </w:pPr>
            <w:r>
              <w:rPr>
                <w:rFonts w:eastAsia="Times New Roman"/>
                <w:b/>
                <w:bCs/>
                <w:i/>
                <w:iCs/>
              </w:rPr>
              <w:t>Financial Position Statement for Period Ended 31 January 2020</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6D5B48" w:rsidRDefault="00470610">
            <w:pPr>
              <w:rPr>
                <w:rFonts w:eastAsia="Times New Roman"/>
              </w:rPr>
            </w:pPr>
            <w:r>
              <w:rPr>
                <w:rFonts w:eastAsia="Times New Roman"/>
              </w:rPr>
              <w:t>The Committee received the above report on various aspects of the College finances for the period ended 31 January 2020.</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 xml:space="preserve">The surplus as a percentage of income was £402k (pre FRS 102) against a phased budget surplus of £416k with a current ratio of 1:1.39 (1:1.31 January 2019) and cash days of 78.9 (71.7 January 2019). Turnover was slightly behind target at £15.21m but above </w:t>
            </w:r>
            <w:r>
              <w:rPr>
                <w:rFonts w:eastAsia="Times New Roman"/>
              </w:rPr>
              <w:t xml:space="preserve">last year of £14.82m (January 2019). Negotiations were continuing with Liverpool City Council regarding their contribution to High Needs Funding for 2018/2019 and 2019/2020.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Staff costs as a percentage of income was 56.1% against a phased target of 56.4%</w:t>
            </w:r>
            <w:r>
              <w:rPr>
                <w:rFonts w:eastAsia="Times New Roman"/>
              </w:rPr>
              <w:t>.</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 xml:space="preserve">Income from Myerscough Ventures was £0.03m behind a profile target of £0.64m.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Overall income to date was lower than budget by £434k (2.8%) but above last year by £398k (2.7%). The key Income variances were:</w:t>
            </w:r>
          </w:p>
          <w:p w:rsidR="006D5B48" w:rsidRDefault="00470610">
            <w:pPr>
              <w:rPr>
                <w:rFonts w:eastAsia="Times New Roman"/>
              </w:rPr>
            </w:pPr>
            <w:r>
              <w:rPr>
                <w:rFonts w:eastAsia="Times New Roman"/>
              </w:rPr>
              <w:br w:type="page"/>
              <w:t>• Education including sub-contract income wa</w:t>
            </w:r>
            <w:r>
              <w:rPr>
                <w:rFonts w:eastAsia="Times New Roman"/>
              </w:rPr>
              <w:t>s £142k (1.3%) less than budget</w:t>
            </w:r>
          </w:p>
          <w:p w:rsidR="006D5B48" w:rsidRDefault="00470610">
            <w:pPr>
              <w:rPr>
                <w:rFonts w:eastAsia="Times New Roman"/>
              </w:rPr>
            </w:pPr>
            <w:r>
              <w:rPr>
                <w:rFonts w:eastAsia="Times New Roman"/>
              </w:rPr>
              <w:br w:type="page"/>
              <w:t xml:space="preserve">• Apprenticeship and Skills including sub-contract income was £230k (1.4%) less than budget and </w:t>
            </w:r>
          </w:p>
          <w:p w:rsidR="006D5B48" w:rsidRDefault="00470610">
            <w:pPr>
              <w:rPr>
                <w:rFonts w:eastAsia="Times New Roman"/>
              </w:rPr>
            </w:pPr>
            <w:r>
              <w:rPr>
                <w:rFonts w:eastAsia="Times New Roman"/>
              </w:rPr>
              <w:br w:type="page"/>
              <w:t>• Other activities income was £48k (17.0%) above budget.</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Direct pay costs were £227k (3.7%) less than budget and £171k lower t</w:t>
            </w:r>
            <w:r>
              <w:rPr>
                <w:rFonts w:eastAsia="Times New Roman"/>
              </w:rPr>
              <w:t xml:space="preserve">han the same time last year.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The Farm income was being closely monitored and to date the gross margin was £51k adverse to budget and 23k less than last year. The report on the Farm also included a copy of the Farm Improvement Plan which was welcomed by G</w:t>
            </w:r>
            <w:r>
              <w:rPr>
                <w:rFonts w:eastAsia="Times New Roman"/>
              </w:rPr>
              <w:t xml:space="preserve">overnors. </w:t>
            </w:r>
          </w:p>
          <w:p w:rsidR="006D5B48" w:rsidRDefault="006D5B48">
            <w:pPr>
              <w:rPr>
                <w:rFonts w:eastAsia="Times New Roman"/>
              </w:rPr>
            </w:pPr>
          </w:p>
          <w:p w:rsidR="006D5B48" w:rsidRDefault="00470610">
            <w:pPr>
              <w:rPr>
                <w:rFonts w:eastAsia="Times New Roman"/>
              </w:rPr>
            </w:pPr>
            <w:r>
              <w:rPr>
                <w:rFonts w:eastAsia="Times New Roman"/>
              </w:rPr>
              <w:lastRenderedPageBreak/>
              <w:br w:type="page"/>
            </w:r>
            <w:r>
              <w:rPr>
                <w:rFonts w:eastAsia="Times New Roman"/>
              </w:rPr>
              <w:br w:type="page"/>
              <w:t xml:space="preserve">The Committee asked various questions on the reports and sought clarification in some areas. They also welcomed the changes to the finance report with the Key Areas of Focus section now included.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D5B48" w:rsidRDefault="006D5B48">
            <w:pPr>
              <w:rPr>
                <w:rFonts w:eastAsia="Times New Roman"/>
                <w:b/>
                <w:bCs/>
              </w:rPr>
            </w:pPr>
          </w:p>
          <w:p w:rsidR="00000000" w:rsidRDefault="00470610">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470610">
            <w:pPr>
              <w:rPr>
                <w:rFonts w:eastAsia="Times New Roman"/>
              </w:rPr>
            </w:pPr>
            <w:r>
              <w:rPr>
                <w:rFonts w:eastAsia="Times New Roman"/>
                <w:b/>
                <w:bCs/>
              </w:rPr>
              <w:t>07.20</w:t>
            </w:r>
          </w:p>
        </w:tc>
        <w:tc>
          <w:tcPr>
            <w:tcW w:w="4000" w:type="pct"/>
            <w:hideMark/>
          </w:tcPr>
          <w:p w:rsidR="00000000" w:rsidRDefault="00470610">
            <w:pPr>
              <w:rPr>
                <w:rFonts w:eastAsia="Times New Roman"/>
              </w:rPr>
            </w:pPr>
            <w:r>
              <w:rPr>
                <w:rFonts w:eastAsia="Times New Roman"/>
                <w:b/>
                <w:bCs/>
                <w:i/>
                <w:iCs/>
              </w:rPr>
              <w:t>Capital Pan Expenditure Report as at 31 January 2020</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000000" w:rsidRDefault="00470610">
            <w:pPr>
              <w:pStyle w:val="NormalWeb"/>
            </w:pPr>
            <w:r>
              <w:t>Finance &amp; Resources Committee considered the Capital Expenditure Report to 31 January 2020.</w:t>
            </w:r>
          </w:p>
          <w:p w:rsidR="00000000" w:rsidRDefault="00470610">
            <w:pPr>
              <w:pStyle w:val="NormalWeb"/>
            </w:pPr>
            <w:r>
              <w:t>Total expenditure against the annual budget of £2,956k for 2019/2020 amounted to £</w:t>
            </w:r>
            <w:r>
              <w:t>487k at 31 January 2020. </w:t>
            </w:r>
          </w:p>
          <w:p w:rsidR="006D5B48" w:rsidRDefault="00470610">
            <w:pPr>
              <w:pStyle w:val="NormalWeb"/>
            </w:pPr>
            <w:r>
              <w:t>The Committee noted the detail and progress made on the capital projects and that the report was in line with expectations and to agreed tolerances.</w:t>
            </w:r>
            <w:r>
              <w:br w:type="page"/>
            </w:r>
            <w:r>
              <w:br w:type="page"/>
            </w:r>
          </w:p>
          <w:p w:rsidR="006D5B48" w:rsidRDefault="00470610">
            <w:pPr>
              <w:pStyle w:val="NormalWeb"/>
              <w:rPr>
                <w:rStyle w:val="Strong"/>
              </w:rPr>
            </w:pPr>
            <w:r>
              <w:rPr>
                <w:rStyle w:val="Strong"/>
              </w:rPr>
              <w:t>Resolved:</w:t>
            </w:r>
          </w:p>
          <w:p w:rsidR="00000000" w:rsidRDefault="00470610">
            <w:pPr>
              <w:pStyle w:val="NormalWeb"/>
            </w:pPr>
            <w:r>
              <w:rPr>
                <w:b/>
                <w:bCs/>
              </w:rPr>
              <w:br w:type="page"/>
            </w:r>
            <w:r>
              <w:rPr>
                <w:b/>
                <w:bCs/>
              </w:rPr>
              <w:br w:type="page"/>
            </w:r>
            <w:r>
              <w:rPr>
                <w:rStyle w:val="Strong"/>
              </w:rPr>
              <w:t>That the report be received.</w:t>
            </w:r>
            <w:r>
              <w:rPr>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b/>
                <w:bCs/>
              </w:rPr>
              <w:t>08.20</w:t>
            </w:r>
          </w:p>
        </w:tc>
        <w:tc>
          <w:tcPr>
            <w:tcW w:w="4000" w:type="pct"/>
            <w:hideMark/>
          </w:tcPr>
          <w:p w:rsidR="00000000" w:rsidRDefault="00470610">
            <w:pPr>
              <w:rPr>
                <w:rFonts w:eastAsia="Times New Roman"/>
              </w:rPr>
            </w:pPr>
            <w:r>
              <w:rPr>
                <w:rFonts w:eastAsia="Times New Roman"/>
                <w:b/>
                <w:bCs/>
                <w:i/>
                <w:iCs/>
              </w:rPr>
              <w:t>Statutory Risk Register</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w:t>
            </w:r>
            <w:r>
              <w:rPr>
                <w:rFonts w:eastAsia="Times New Roman"/>
                <w:b/>
                <w:bCs/>
                <w:i/>
                <w:iCs/>
              </w:rPr>
              <w:t>ision</w:t>
            </w:r>
          </w:p>
        </w:tc>
        <w:tc>
          <w:tcPr>
            <w:tcW w:w="4000" w:type="pct"/>
            <w:hideMark/>
          </w:tcPr>
          <w:p w:rsidR="006D5B48" w:rsidRDefault="00470610">
            <w:pPr>
              <w:rPr>
                <w:rFonts w:eastAsia="Times New Roman"/>
              </w:rPr>
            </w:pPr>
            <w:r>
              <w:rPr>
                <w:rFonts w:eastAsia="Times New Roman"/>
              </w:rPr>
              <w:t>Members considered those elements of the Risk Register applicable to the Finance and Resources Committee.</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They had been developed to provide a summary page which detailed updates and trends. A risk appetite statement was included as was the assessme</w:t>
            </w:r>
            <w:r>
              <w:rPr>
                <w:rFonts w:eastAsia="Times New Roman"/>
              </w:rPr>
              <w:t>nt framework that had been developed and was included to ensure consistency of scoring for inherent and residual risk.  </w:t>
            </w:r>
          </w:p>
          <w:p w:rsidR="006D5B48" w:rsidRDefault="006D5B48">
            <w:pPr>
              <w:rPr>
                <w:rFonts w:eastAsia="Times New Roman"/>
              </w:rPr>
            </w:pPr>
          </w:p>
          <w:p w:rsidR="006D5B48" w:rsidRDefault="00470610">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6D5B48" w:rsidRDefault="006D5B48">
            <w:pPr>
              <w:rPr>
                <w:rFonts w:eastAsia="Times New Roman"/>
                <w:b/>
                <w:bCs/>
              </w:rPr>
            </w:pPr>
          </w:p>
          <w:p w:rsidR="00000000" w:rsidRDefault="00470610">
            <w:pPr>
              <w:rPr>
                <w:rFonts w:eastAsia="Times New Roman"/>
              </w:rPr>
            </w:pPr>
            <w:r>
              <w:rPr>
                <w:rStyle w:val="Strong"/>
                <w:rFonts w:eastAsia="Times New Roman"/>
              </w:rPr>
              <w:t>That the Statutory Risk Register for the Finance and Resources Committee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b/>
                <w:bCs/>
              </w:rPr>
              <w:t>09.20</w:t>
            </w:r>
          </w:p>
        </w:tc>
        <w:tc>
          <w:tcPr>
            <w:tcW w:w="4000" w:type="pct"/>
            <w:hideMark/>
          </w:tcPr>
          <w:p w:rsidR="00000000" w:rsidRDefault="00470610">
            <w:pPr>
              <w:rPr>
                <w:rFonts w:eastAsia="Times New Roman"/>
              </w:rPr>
            </w:pPr>
            <w:r>
              <w:rPr>
                <w:rFonts w:eastAsia="Times New Roman"/>
                <w:b/>
                <w:bCs/>
                <w:i/>
                <w:iCs/>
              </w:rPr>
              <w:t>Financial Regulations Annual Review</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6D5B48" w:rsidRDefault="00470610">
            <w:pPr>
              <w:rPr>
                <w:rFonts w:eastAsia="Times New Roman"/>
              </w:rPr>
            </w:pPr>
            <w:r>
              <w:rPr>
                <w:rFonts w:eastAsia="Times New Roman"/>
              </w:rPr>
              <w:t>The Financial Regulations required review on an annual basis. The Director of Finance had therefore produced a report including a schedule of amendments, which had been broken down into two sections; substantiv</w:t>
            </w:r>
            <w:r>
              <w:rPr>
                <w:rFonts w:eastAsia="Times New Roman"/>
              </w:rPr>
              <w:t>e changes and minor changes.</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 xml:space="preserve">The substantive changes fell into two broad areas: </w:t>
            </w:r>
          </w:p>
          <w:p w:rsidR="006D5B48" w:rsidRDefault="006D5B48">
            <w:pPr>
              <w:rPr>
                <w:rFonts w:eastAsia="Times New Roman"/>
              </w:rPr>
            </w:pPr>
          </w:p>
          <w:p w:rsidR="006D5B48" w:rsidRDefault="00470610">
            <w:pPr>
              <w:rPr>
                <w:rFonts w:eastAsia="Times New Roman"/>
              </w:rPr>
            </w:pPr>
            <w:r>
              <w:rPr>
                <w:rFonts w:eastAsia="Times New Roman"/>
              </w:rPr>
              <w:br w:type="page"/>
              <w:t>Procurement Rules. The Brexit arrangements required the College to maintain EU Procurement Regulations until the end of the transitional arrangement period at 31 December 202</w:t>
            </w:r>
            <w:r>
              <w:rPr>
                <w:rFonts w:eastAsia="Times New Roman"/>
              </w:rPr>
              <w:t xml:space="preserve">0. The revised procurement thresholds were included in the revision. </w:t>
            </w:r>
          </w:p>
          <w:p w:rsidR="006D5B48" w:rsidRDefault="006D5B48">
            <w:pPr>
              <w:rPr>
                <w:rFonts w:eastAsia="Times New Roman"/>
              </w:rPr>
            </w:pPr>
          </w:p>
          <w:p w:rsidR="006D5B48" w:rsidRDefault="00470610">
            <w:pPr>
              <w:rPr>
                <w:rFonts w:eastAsia="Times New Roman"/>
              </w:rPr>
            </w:pPr>
            <w:r>
              <w:rPr>
                <w:rFonts w:eastAsia="Times New Roman"/>
              </w:rPr>
              <w:br w:type="page"/>
              <w:t xml:space="preserve">Disposal of Assets. The procedure for the disposal of assets had been incorporated into the Financial Regulations under section 10.6.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The minor changes were mainly related procedural/n</w:t>
            </w:r>
            <w:r>
              <w:rPr>
                <w:rFonts w:eastAsia="Times New Roman"/>
              </w:rPr>
              <w:t>ominated officer issues.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D5B48" w:rsidRDefault="006D5B48">
            <w:pPr>
              <w:rPr>
                <w:rFonts w:eastAsia="Times New Roman"/>
                <w:b/>
                <w:bCs/>
              </w:rPr>
            </w:pPr>
          </w:p>
          <w:p w:rsidR="00000000" w:rsidRDefault="00470610">
            <w:pPr>
              <w:rPr>
                <w:rFonts w:eastAsia="Times New Roman"/>
              </w:rPr>
            </w:pPr>
            <w:r>
              <w:rPr>
                <w:rStyle w:val="Strong"/>
                <w:rFonts w:eastAsia="Times New Roman"/>
              </w:rPr>
              <w:t>That the Corporation be recommended to adopt the revised Financial Regulations with effect from 1 April 2020.</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470610">
            <w:pPr>
              <w:rPr>
                <w:rFonts w:eastAsia="Times New Roman"/>
              </w:rPr>
            </w:pPr>
            <w:r>
              <w:rPr>
                <w:rFonts w:eastAsia="Times New Roman"/>
                <w:b/>
                <w:bCs/>
              </w:rPr>
              <w:t>10.20</w:t>
            </w:r>
          </w:p>
        </w:tc>
        <w:tc>
          <w:tcPr>
            <w:tcW w:w="4000" w:type="pct"/>
            <w:hideMark/>
          </w:tcPr>
          <w:p w:rsidR="00000000" w:rsidRDefault="00470610">
            <w:pPr>
              <w:rPr>
                <w:rFonts w:eastAsia="Times New Roman"/>
              </w:rPr>
            </w:pPr>
            <w:r>
              <w:rPr>
                <w:rFonts w:eastAsia="Times New Roman"/>
                <w:b/>
                <w:bCs/>
                <w:i/>
                <w:iCs/>
              </w:rPr>
              <w:t>College Funding 2020/2021</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6D5B48" w:rsidRDefault="00470610">
            <w:pPr>
              <w:rPr>
                <w:rFonts w:eastAsia="Times New Roman"/>
              </w:rPr>
            </w:pPr>
            <w:r>
              <w:rPr>
                <w:rFonts w:eastAsia="Times New Roman"/>
              </w:rPr>
              <w:t>The Committee received the report of the Director of Financ</w:t>
            </w:r>
            <w:r>
              <w:rPr>
                <w:rFonts w:eastAsia="Times New Roman"/>
              </w:rPr>
              <w:t xml:space="preserve">e, detailing the notification from the ESFA, received on 28 February 2020, on the funding provision for 2020/21.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 xml:space="preserve">The report outlined the main points of the allocation as follows: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 The FE Funding Allocation for 2020/21, including high needs funding but</w:t>
            </w:r>
            <w:r>
              <w:rPr>
                <w:rFonts w:eastAsia="Times New Roman"/>
              </w:rPr>
              <w:t xml:space="preserve"> excluding bursaries, was £13,256,131, this amount being £1,460,001 higher than in the current year.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 Within the total FE allocation was an High Needs ‘element 2’ Funding of £1,896,000 in respect of 316 learners, which represented an increase of £372,00</w:t>
            </w:r>
            <w:r>
              <w:rPr>
                <w:rFonts w:eastAsia="Times New Roman"/>
              </w:rPr>
              <w:t>0 and 62 learners, in comparison to the current year.</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 xml:space="preserve">• Excluding the positive effect of High Needs Funding the FE allocation is £10,618,701, which was £1,253,138 higher than in the current year.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The principal reasons for the increases were:</w:t>
            </w:r>
          </w:p>
          <w:p w:rsidR="006D5B48" w:rsidRDefault="00470610">
            <w:pPr>
              <w:rPr>
                <w:rFonts w:eastAsia="Times New Roman"/>
              </w:rPr>
            </w:pPr>
            <w:r>
              <w:rPr>
                <w:rFonts w:eastAsia="Times New Roman"/>
              </w:rPr>
              <w:br w:type="page"/>
              <w:t>- £20.8k i</w:t>
            </w:r>
            <w:r>
              <w:rPr>
                <w:rFonts w:eastAsia="Times New Roman"/>
              </w:rPr>
              <w:t xml:space="preserve">ncrease for new funding streams for High Value Courses; </w:t>
            </w:r>
            <w:r>
              <w:rPr>
                <w:rFonts w:eastAsia="Times New Roman"/>
              </w:rPr>
              <w:br w:type="page"/>
            </w:r>
          </w:p>
          <w:p w:rsidR="006D5B48" w:rsidRDefault="00470610">
            <w:pPr>
              <w:rPr>
                <w:rFonts w:eastAsia="Times New Roman"/>
              </w:rPr>
            </w:pPr>
            <w:r>
              <w:rPr>
                <w:rFonts w:eastAsia="Times New Roman"/>
              </w:rPr>
              <w:t xml:space="preserve">- Increase to the base rate funding of £188 per FTE; </w:t>
            </w:r>
          </w:p>
          <w:p w:rsidR="006D5B48" w:rsidRDefault="00470610">
            <w:pPr>
              <w:rPr>
                <w:rFonts w:eastAsia="Times New Roman"/>
              </w:rPr>
            </w:pPr>
            <w:r>
              <w:rPr>
                <w:rFonts w:eastAsia="Times New Roman"/>
              </w:rPr>
              <w:br w:type="page"/>
              <w:t>- Increase in student numbers due to lagged funding of 71;</w:t>
            </w:r>
          </w:p>
          <w:p w:rsidR="006D5B48" w:rsidRDefault="00470610">
            <w:pPr>
              <w:rPr>
                <w:rFonts w:eastAsia="Times New Roman"/>
              </w:rPr>
            </w:pPr>
            <w:r>
              <w:rPr>
                <w:rFonts w:eastAsia="Times New Roman"/>
              </w:rPr>
              <w:br w:type="page"/>
              <w:t xml:space="preserve">- Level 3 programme Maths and English £97k.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r>
            <w:proofErr w:type="spellStart"/>
            <w:r>
              <w:rPr>
                <w:rFonts w:eastAsia="Times New Roman"/>
              </w:rPr>
              <w:t>Principalship</w:t>
            </w:r>
            <w:proofErr w:type="spellEnd"/>
            <w:r>
              <w:rPr>
                <w:rFonts w:eastAsia="Times New Roman"/>
              </w:rPr>
              <w:t xml:space="preserve"> was working on both short </w:t>
            </w:r>
            <w:r>
              <w:rPr>
                <w:rFonts w:eastAsia="Times New Roman"/>
              </w:rPr>
              <w:t xml:space="preserve">and medium-term measures to improve efficiency and attract additional students.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In considering the report the Committee expressed their dissatisfaction with the fact that a great deal of officer time had gone into preparing the ESFA Financial Model, whic</w:t>
            </w:r>
            <w:r>
              <w:rPr>
                <w:rFonts w:eastAsia="Times New Roman"/>
              </w:rPr>
              <w:t xml:space="preserve">h had been forwarded to their office on the 27 February only for the forecasting of finances to be impacted the day after by the increase in funding notification.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However, the Committee were pleased to note the increase in funding for the next academic y</w:t>
            </w:r>
            <w:r>
              <w:rPr>
                <w:rFonts w:eastAsia="Times New Roman"/>
              </w:rPr>
              <w:t>ear.</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Style w:val="Strong"/>
                <w:rFonts w:eastAsia="Times New Roman"/>
              </w:rPr>
            </w:pPr>
            <w:r>
              <w:rPr>
                <w:rStyle w:val="Strong"/>
                <w:rFonts w:eastAsia="Times New Roman"/>
              </w:rPr>
              <w:t>Resolved:</w:t>
            </w:r>
          </w:p>
          <w:p w:rsidR="006D5B48" w:rsidRDefault="006D5B48">
            <w:pPr>
              <w:rPr>
                <w:rStyle w:val="Strong"/>
                <w:rFonts w:eastAsia="Times New Roman"/>
              </w:rPr>
            </w:pPr>
          </w:p>
          <w:p w:rsidR="00000000" w:rsidRDefault="00470610">
            <w:pPr>
              <w:rPr>
                <w:rFonts w:eastAsia="Times New Roman"/>
              </w:rPr>
            </w:pPr>
            <w:r>
              <w:rPr>
                <w:rFonts w:eastAsia="Times New Roman"/>
                <w:b/>
                <w:bCs/>
              </w:rPr>
              <w:br w:type="page"/>
            </w:r>
            <w:r>
              <w:rPr>
                <w:rFonts w:eastAsia="Times New Roman"/>
                <w:b/>
                <w:bCs/>
              </w:rPr>
              <w:br w:type="page"/>
            </w:r>
            <w:r>
              <w:rPr>
                <w:rStyle w:val="Strong"/>
                <w:rFonts w:eastAsia="Times New Roman"/>
              </w:rPr>
              <w:t>That the report on College Funding for 2020/2021 be noted and forwarded to Corporation for information.</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470610">
            <w:pPr>
              <w:rPr>
                <w:rFonts w:eastAsia="Times New Roman"/>
              </w:rPr>
            </w:pPr>
            <w:r>
              <w:rPr>
                <w:rFonts w:eastAsia="Times New Roman"/>
                <w:b/>
                <w:bCs/>
              </w:rPr>
              <w:t>11.20</w:t>
            </w:r>
          </w:p>
        </w:tc>
        <w:tc>
          <w:tcPr>
            <w:tcW w:w="4000" w:type="pct"/>
            <w:hideMark/>
          </w:tcPr>
          <w:p w:rsidR="00000000" w:rsidRDefault="00470610">
            <w:pPr>
              <w:rPr>
                <w:rFonts w:eastAsia="Times New Roman"/>
              </w:rPr>
            </w:pPr>
            <w:r>
              <w:rPr>
                <w:rFonts w:eastAsia="Times New Roman"/>
                <w:b/>
                <w:bCs/>
                <w:i/>
                <w:iCs/>
              </w:rPr>
              <w:t>Student Bursary Fund Allocations 2020/2021</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6D5B48" w:rsidRDefault="00470610">
            <w:pPr>
              <w:rPr>
                <w:rFonts w:eastAsia="Times New Roman"/>
              </w:rPr>
            </w:pPr>
            <w:r>
              <w:rPr>
                <w:rFonts w:eastAsia="Times New Roman"/>
              </w:rPr>
              <w:t>The Director of Finance presented a report on the provision of Bursar</w:t>
            </w:r>
            <w:r>
              <w:rPr>
                <w:rFonts w:eastAsia="Times New Roman"/>
              </w:rPr>
              <w:t xml:space="preserve">y Funds for 2020/2021.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The ESFA had increased provision by £53,604 for the year making a total of £783,772. This sum covered: Discretionary 16–18 and Residential figures for Free School Meals but not for Advanced Learners at this stage.</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The increase was</w:t>
            </w:r>
            <w:r>
              <w:rPr>
                <w:rFonts w:eastAsia="Times New Roman"/>
              </w:rPr>
              <w:t xml:space="preserve"> partly due to increased student numbers and in part due to a change in methodology. Following discussions last year with the ESFA residential bursaries would not be available to students on non-specialist sports courses or public service courses (other th</w:t>
            </w:r>
            <w:r>
              <w:rPr>
                <w:rFonts w:eastAsia="Times New Roman"/>
              </w:rPr>
              <w:t xml:space="preserve">an for vulnerable learners or special cases) as these were widely available in 6th form schools and colleges.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The Policy and Procedure covering the allocation of the funds for both FE and HE students was also presented for consideration. The latest guida</w:t>
            </w:r>
            <w:r>
              <w:rPr>
                <w:rFonts w:eastAsia="Times New Roman"/>
              </w:rPr>
              <w:t>nce had not yet been received from the ESFA and this may affect the Policies for both HE and FE. However, it was necessary to agree the Policies so that they could be published as soon as possible. Any necessary amendments would be made at a later date via</w:t>
            </w:r>
            <w:r>
              <w:rPr>
                <w:rFonts w:eastAsia="Times New Roman"/>
              </w:rPr>
              <w:t xml:space="preserve"> Chair’s Action. Both policies would be published on the College website but details of Bursary Fund Awards (also circulated with the papers) would be retained as an internal document. </w:t>
            </w:r>
          </w:p>
          <w:p w:rsidR="006D5B48" w:rsidRDefault="006D5B48">
            <w:pPr>
              <w:rPr>
                <w:rFonts w:eastAsia="Times New Roman"/>
              </w:rPr>
            </w:pPr>
          </w:p>
          <w:p w:rsidR="006D5B48" w:rsidRDefault="00470610">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6D5B48" w:rsidRDefault="006D5B48">
            <w:pPr>
              <w:rPr>
                <w:rFonts w:eastAsia="Times New Roman"/>
                <w:b/>
                <w:bCs/>
              </w:rPr>
            </w:pPr>
          </w:p>
          <w:p w:rsidR="00000000" w:rsidRDefault="00470610">
            <w:pPr>
              <w:rPr>
                <w:rFonts w:eastAsia="Times New Roman"/>
              </w:rPr>
            </w:pPr>
            <w:r>
              <w:rPr>
                <w:rStyle w:val="Strong"/>
                <w:rFonts w:eastAsia="Times New Roman"/>
              </w:rPr>
              <w:t>That the report be received and the Committee confirm that</w:t>
            </w:r>
            <w:r>
              <w:rPr>
                <w:rStyle w:val="Strong"/>
                <w:rFonts w:eastAsia="Times New Roman"/>
              </w:rPr>
              <w:t xml:space="preserve"> the Policy and Procedures regarding Bursary Funds remained fit for purpose.</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b/>
                <w:bCs/>
              </w:rPr>
              <w:t>12.20</w:t>
            </w:r>
          </w:p>
        </w:tc>
        <w:tc>
          <w:tcPr>
            <w:tcW w:w="4000" w:type="pct"/>
            <w:hideMark/>
          </w:tcPr>
          <w:p w:rsidR="00000000" w:rsidRDefault="00470610">
            <w:pPr>
              <w:rPr>
                <w:rFonts w:eastAsia="Times New Roman"/>
              </w:rPr>
            </w:pPr>
            <w:r>
              <w:rPr>
                <w:rFonts w:eastAsia="Times New Roman"/>
                <w:b/>
                <w:bCs/>
                <w:i/>
                <w:iCs/>
              </w:rPr>
              <w:t>Human Resources Report for the Period Ended 31 January 2020</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6D5B48" w:rsidRDefault="00470610">
            <w:pPr>
              <w:rPr>
                <w:rFonts w:eastAsia="Times New Roman"/>
              </w:rPr>
            </w:pPr>
            <w:r>
              <w:rPr>
                <w:rFonts w:eastAsia="Times New Roman"/>
              </w:rPr>
              <w:t xml:space="preserve">The Committee considered the above report which contained analysis of staff turnover, breakdown analysis of leavers, staff stability index and staff sickness statistics.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 xml:space="preserve">The Committee noted that staff turnover was 16.8%, a slight reduction from the last </w:t>
            </w:r>
            <w:r>
              <w:rPr>
                <w:rFonts w:eastAsia="Times New Roman"/>
              </w:rPr>
              <w:t>period and below national average. Overall staff sickness was at 2.9% a slight increase from the last quarter although it remained below the north west average of 3.1%.</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There were 8 employees currently on long term sickness absence, which was against a t</w:t>
            </w:r>
            <w:r>
              <w:rPr>
                <w:rFonts w:eastAsia="Times New Roman"/>
              </w:rPr>
              <w:t>arget of 6.</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b/>
                <w:bCs/>
              </w:rPr>
            </w:pPr>
            <w:r>
              <w:rPr>
                <w:rStyle w:val="Strong"/>
                <w:rFonts w:eastAsia="Times New Roman"/>
              </w:rPr>
              <w:lastRenderedPageBreak/>
              <w:t>Resolved:</w:t>
            </w:r>
            <w:r>
              <w:rPr>
                <w:rFonts w:eastAsia="Times New Roman"/>
                <w:b/>
                <w:bCs/>
              </w:rPr>
              <w:br w:type="page"/>
            </w:r>
            <w:r>
              <w:rPr>
                <w:rFonts w:eastAsia="Times New Roman"/>
                <w:b/>
                <w:bCs/>
              </w:rPr>
              <w:br w:type="page"/>
            </w:r>
          </w:p>
          <w:p w:rsidR="006D5B48" w:rsidRDefault="006D5B48">
            <w:pPr>
              <w:rPr>
                <w:rFonts w:eastAsia="Times New Roman"/>
                <w:b/>
                <w:bCs/>
              </w:rPr>
            </w:pPr>
          </w:p>
          <w:p w:rsidR="00000000" w:rsidRDefault="00470610">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470610">
            <w:pPr>
              <w:rPr>
                <w:rFonts w:eastAsia="Times New Roman"/>
              </w:rPr>
            </w:pPr>
            <w:r>
              <w:rPr>
                <w:rFonts w:eastAsia="Times New Roman"/>
                <w:b/>
                <w:bCs/>
              </w:rPr>
              <w:t>13.20</w:t>
            </w:r>
          </w:p>
        </w:tc>
        <w:tc>
          <w:tcPr>
            <w:tcW w:w="4000" w:type="pct"/>
            <w:hideMark/>
          </w:tcPr>
          <w:p w:rsidR="00000000" w:rsidRDefault="00470610">
            <w:pPr>
              <w:rPr>
                <w:rFonts w:eastAsia="Times New Roman"/>
              </w:rPr>
            </w:pPr>
            <w:r>
              <w:rPr>
                <w:rFonts w:eastAsia="Times New Roman"/>
                <w:b/>
                <w:bCs/>
                <w:i/>
                <w:iCs/>
              </w:rPr>
              <w:t>Safer Recruitment Policy</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6D5B48" w:rsidRDefault="00470610">
            <w:pPr>
              <w:rPr>
                <w:rFonts w:eastAsia="Times New Roman"/>
              </w:rPr>
            </w:pPr>
            <w:r>
              <w:rPr>
                <w:rFonts w:eastAsia="Times New Roman"/>
              </w:rPr>
              <w:t>The Committee considered a report indicating that HR had reviewed all pre-employment background checks and vetting processes. This had been to provide clarity on the safer recruitment requirements for different categories of workers or engagements – such a</w:t>
            </w:r>
            <w:r>
              <w:rPr>
                <w:rFonts w:eastAsia="Times New Roman"/>
              </w:rPr>
              <w:t>s third parties and contractors - which take place across the College.</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This would provide clarity and consistency for managers and should help to enhance levels of understanding and compliance. HR had also introduced a safer recruitment audit checklist, w</w:t>
            </w:r>
            <w:r>
              <w:rPr>
                <w:rFonts w:eastAsia="Times New Roman"/>
              </w:rPr>
              <w:t xml:space="preserve">hich now had to be completed for every new starter and would provide clear and timely oversight of compliance with all safer recruitment responsibilities.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 xml:space="preserve">In addition, the recent introduction of DBS Online would provide a secure means of undertaking DBS </w:t>
            </w:r>
            <w:r>
              <w:rPr>
                <w:rFonts w:eastAsia="Times New Roman"/>
              </w:rPr>
              <w:t xml:space="preserve">checks going forward, whilst reducing waiting times for clearance.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D5B48" w:rsidRDefault="006D5B48">
            <w:pPr>
              <w:rPr>
                <w:rFonts w:eastAsia="Times New Roman"/>
                <w:b/>
                <w:bCs/>
              </w:rPr>
            </w:pPr>
          </w:p>
          <w:p w:rsidR="00000000" w:rsidRDefault="00470610">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b/>
                <w:bCs/>
              </w:rPr>
              <w:t>14.20</w:t>
            </w:r>
          </w:p>
        </w:tc>
        <w:tc>
          <w:tcPr>
            <w:tcW w:w="4000" w:type="pct"/>
            <w:hideMark/>
          </w:tcPr>
          <w:p w:rsidR="00000000" w:rsidRDefault="00470610">
            <w:pPr>
              <w:rPr>
                <w:rFonts w:eastAsia="Times New Roman"/>
              </w:rPr>
            </w:pPr>
            <w:r>
              <w:rPr>
                <w:rFonts w:eastAsia="Times New Roman"/>
                <w:b/>
                <w:bCs/>
                <w:i/>
                <w:iCs/>
              </w:rPr>
              <w:t>Health and Safety Report for the Period Ended 31 January 2020</w:t>
            </w:r>
          </w:p>
        </w:tc>
      </w:tr>
      <w:tr w:rsidR="00000000">
        <w:trPr>
          <w:tblCellSpacing w:w="15" w:type="dxa"/>
        </w:trPr>
        <w:tc>
          <w:tcPr>
            <w:tcW w:w="1000" w:type="pct"/>
            <w:hideMark/>
          </w:tcPr>
          <w:p w:rsidR="00000000" w:rsidRDefault="00470610">
            <w:pPr>
              <w:rPr>
                <w:rFonts w:eastAsia="Times New Roman"/>
              </w:rPr>
            </w:pPr>
            <w:r>
              <w:rPr>
                <w:rFonts w:eastAsia="Times New Roman"/>
                <w:b/>
                <w:bCs/>
                <w:i/>
                <w:iCs/>
              </w:rPr>
              <w:t>Decision</w:t>
            </w:r>
          </w:p>
        </w:tc>
        <w:tc>
          <w:tcPr>
            <w:tcW w:w="4000" w:type="pct"/>
            <w:hideMark/>
          </w:tcPr>
          <w:p w:rsidR="006D5B48" w:rsidRDefault="00470610">
            <w:pPr>
              <w:rPr>
                <w:rFonts w:eastAsia="Times New Roman"/>
              </w:rPr>
            </w:pPr>
            <w:r>
              <w:rPr>
                <w:rFonts w:eastAsia="Times New Roman"/>
              </w:rPr>
              <w:t>Members considered the Health and Safety Report for the period</w:t>
            </w:r>
            <w:r>
              <w:rPr>
                <w:rFonts w:eastAsia="Times New Roman"/>
              </w:rPr>
              <w:t xml:space="preserve"> ended 31 January 2020, which included a summary of key strengths, areas for improvement, actions taken and further actions planned. </w:t>
            </w:r>
          </w:p>
          <w:p w:rsidR="006D5B48" w:rsidRDefault="006D5B48">
            <w:pPr>
              <w:rPr>
                <w:rFonts w:eastAsia="Times New Roman"/>
              </w:rPr>
            </w:pPr>
          </w:p>
          <w:p w:rsidR="006D5B48" w:rsidRDefault="00470610">
            <w:pPr>
              <w:rPr>
                <w:rFonts w:eastAsia="Times New Roman"/>
              </w:rPr>
            </w:pPr>
            <w:r>
              <w:rPr>
                <w:rFonts w:eastAsia="Times New Roman"/>
              </w:rPr>
              <w:br w:type="page"/>
            </w:r>
            <w:r>
              <w:rPr>
                <w:rFonts w:eastAsia="Times New Roman"/>
              </w:rPr>
              <w:br w:type="page"/>
              <w:t xml:space="preserve">The number of accidents had reduced considerably compared to the same period last year.  Slips, trips and falls remained </w:t>
            </w:r>
            <w:r>
              <w:rPr>
                <w:rFonts w:eastAsia="Times New Roman"/>
              </w:rPr>
              <w:t xml:space="preserve">the main cause of accidents or incidents. </w:t>
            </w:r>
          </w:p>
          <w:p w:rsidR="006D5B48" w:rsidRDefault="00470610">
            <w:pPr>
              <w:rPr>
                <w:rFonts w:eastAsia="Times New Roman"/>
              </w:rPr>
            </w:pPr>
            <w:r>
              <w:rPr>
                <w:rFonts w:eastAsia="Times New Roman"/>
              </w:rPr>
              <w:t xml:space="preserve">The number of near misses had increased but this was due, it was felt, to the improved reporting arrangements. </w:t>
            </w:r>
            <w:r>
              <w:rPr>
                <w:rFonts w:eastAsia="Times New Roman"/>
              </w:rPr>
              <w:br w:type="page"/>
              <w:t>There was nothing that pointed to a significant area of concern.</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rPr>
            </w:pPr>
            <w:r>
              <w:rPr>
                <w:rFonts w:eastAsia="Times New Roman"/>
              </w:rPr>
              <w:t>Only 4 RIDDOR reportable accidents o</w:t>
            </w:r>
            <w:r>
              <w:rPr>
                <w:rFonts w:eastAsia="Times New Roman"/>
              </w:rPr>
              <w:t xml:space="preserve">ccurred none of which required further investigation. Details of audits undertaken and planned were included in the report. </w:t>
            </w:r>
            <w:r>
              <w:rPr>
                <w:rFonts w:eastAsia="Times New Roman"/>
              </w:rPr>
              <w:br w:type="page"/>
            </w:r>
            <w:r>
              <w:rPr>
                <w:rFonts w:eastAsia="Times New Roman"/>
              </w:rPr>
              <w:br w:type="page"/>
            </w:r>
          </w:p>
          <w:p w:rsidR="006D5B48" w:rsidRDefault="006D5B48">
            <w:pPr>
              <w:rPr>
                <w:rFonts w:eastAsia="Times New Roman"/>
              </w:rPr>
            </w:pPr>
          </w:p>
          <w:p w:rsidR="006D5B48" w:rsidRDefault="0047061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D5B48" w:rsidRDefault="006D5B48">
            <w:pPr>
              <w:rPr>
                <w:rFonts w:eastAsia="Times New Roman"/>
                <w:b/>
                <w:bCs/>
              </w:rPr>
            </w:pPr>
          </w:p>
          <w:p w:rsidR="00000000" w:rsidRDefault="00470610">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470610">
            <w:pPr>
              <w:rPr>
                <w:rFonts w:eastAsia="Times New Roman"/>
              </w:rPr>
            </w:pPr>
            <w:r>
              <w:rPr>
                <w:rFonts w:eastAsia="Times New Roman"/>
              </w:rPr>
              <w:t> </w:t>
            </w:r>
          </w:p>
        </w:tc>
      </w:tr>
      <w:tr w:rsidR="00000000">
        <w:trPr>
          <w:tblCellSpacing w:w="15" w:type="dxa"/>
        </w:trPr>
        <w:tc>
          <w:tcPr>
            <w:tcW w:w="1000" w:type="pct"/>
            <w:hideMark/>
          </w:tcPr>
          <w:p w:rsidR="00000000" w:rsidRDefault="00470610">
            <w:pPr>
              <w:rPr>
                <w:rFonts w:eastAsia="Times New Roman"/>
              </w:rPr>
            </w:pPr>
            <w:r>
              <w:rPr>
                <w:rFonts w:eastAsia="Times New Roman"/>
                <w:b/>
                <w:bCs/>
              </w:rPr>
              <w:t>15.20</w:t>
            </w:r>
          </w:p>
        </w:tc>
        <w:tc>
          <w:tcPr>
            <w:tcW w:w="4000" w:type="pct"/>
            <w:hideMark/>
          </w:tcPr>
          <w:p w:rsidR="00000000" w:rsidRDefault="00470610">
            <w:pPr>
              <w:rPr>
                <w:rFonts w:eastAsia="Times New Roman"/>
              </w:rPr>
            </w:pPr>
            <w:r>
              <w:rPr>
                <w:rFonts w:eastAsia="Times New Roman"/>
                <w:b/>
                <w:bCs/>
                <w:i/>
                <w:iCs/>
              </w:rPr>
              <w:t>Janet Whiteside, Director of Finance</w:t>
            </w:r>
          </w:p>
        </w:tc>
      </w:tr>
      <w:tr w:rsidR="00000000" w:rsidRPr="006D5B48">
        <w:trPr>
          <w:tblCellSpacing w:w="15" w:type="dxa"/>
        </w:trPr>
        <w:tc>
          <w:tcPr>
            <w:tcW w:w="1000" w:type="pct"/>
            <w:hideMark/>
          </w:tcPr>
          <w:p w:rsidR="00000000" w:rsidRPr="006D5B48" w:rsidRDefault="00470610">
            <w:pPr>
              <w:rPr>
                <w:rFonts w:eastAsia="Times New Roman"/>
                <w:u w:val="single"/>
              </w:rPr>
            </w:pPr>
            <w:r w:rsidRPr="006D5B48">
              <w:rPr>
                <w:rFonts w:eastAsia="Times New Roman"/>
                <w:b/>
                <w:bCs/>
                <w:i/>
                <w:iCs/>
                <w:u w:val="single"/>
              </w:rPr>
              <w:t>Decision</w:t>
            </w:r>
          </w:p>
        </w:tc>
        <w:tc>
          <w:tcPr>
            <w:tcW w:w="4000" w:type="pct"/>
            <w:hideMark/>
          </w:tcPr>
          <w:p w:rsidR="006D5B48" w:rsidRPr="006D5B48" w:rsidRDefault="00470610">
            <w:pPr>
              <w:rPr>
                <w:rFonts w:eastAsia="Times New Roman"/>
                <w:u w:val="single"/>
              </w:rPr>
            </w:pPr>
            <w:r w:rsidRPr="006D5B48">
              <w:rPr>
                <w:rFonts w:eastAsia="Times New Roman"/>
                <w:u w:val="single"/>
              </w:rPr>
              <w:t xml:space="preserve">The Chair expressed his thanks to Janet Whiteside, Director of Finance, who had stepped into the role of Interim Deputy Principal, Finance and </w:t>
            </w:r>
            <w:r w:rsidRPr="006D5B48">
              <w:rPr>
                <w:rFonts w:eastAsia="Times New Roman"/>
                <w:u w:val="single"/>
              </w:rPr>
              <w:lastRenderedPageBreak/>
              <w:t>Corporate Services, during the recent vacancy.</w:t>
            </w:r>
            <w:r w:rsidRPr="006D5B48">
              <w:rPr>
                <w:rFonts w:eastAsia="Times New Roman"/>
                <w:u w:val="single"/>
              </w:rPr>
              <w:br w:type="page"/>
            </w:r>
            <w:r w:rsidRPr="006D5B48">
              <w:rPr>
                <w:rFonts w:eastAsia="Times New Roman"/>
                <w:u w:val="single"/>
              </w:rPr>
              <w:br w:type="page"/>
              <w:t>The rest of the Committee concurred with the comments.</w:t>
            </w:r>
            <w:r w:rsidRPr="006D5B48">
              <w:rPr>
                <w:rFonts w:eastAsia="Times New Roman"/>
                <w:u w:val="single"/>
              </w:rPr>
              <w:br w:type="page"/>
            </w:r>
            <w:r w:rsidRPr="006D5B48">
              <w:rPr>
                <w:rFonts w:eastAsia="Times New Roman"/>
                <w:u w:val="single"/>
              </w:rPr>
              <w:br w:type="page"/>
            </w:r>
          </w:p>
          <w:p w:rsidR="006D5B48" w:rsidRPr="006D5B48" w:rsidRDefault="006D5B48">
            <w:pPr>
              <w:rPr>
                <w:rFonts w:eastAsia="Times New Roman"/>
                <w:u w:val="single"/>
              </w:rPr>
            </w:pPr>
          </w:p>
          <w:p w:rsidR="00000000" w:rsidRPr="006D5B48" w:rsidRDefault="00470610">
            <w:pPr>
              <w:rPr>
                <w:rFonts w:eastAsia="Times New Roman"/>
                <w:u w:val="single"/>
              </w:rPr>
            </w:pPr>
            <w:r w:rsidRPr="006D5B48">
              <w:rPr>
                <w:rFonts w:eastAsia="Times New Roman"/>
                <w:u w:val="single"/>
              </w:rPr>
              <w:t>Janet res</w:t>
            </w:r>
            <w:r w:rsidRPr="006D5B48">
              <w:rPr>
                <w:rFonts w:eastAsia="Times New Roman"/>
                <w:u w:val="single"/>
              </w:rPr>
              <w:t>ponded accordingly.</w:t>
            </w:r>
            <w:r w:rsidRPr="006D5B48">
              <w:rPr>
                <w:rFonts w:eastAsia="Times New Roman"/>
                <w:u w:val="single"/>
              </w:rPr>
              <w:br w:type="page"/>
              <w:t> </w:t>
            </w:r>
          </w:p>
        </w:tc>
        <w:bookmarkStart w:id="0" w:name="_GoBack"/>
        <w:bookmarkEnd w:id="0"/>
      </w:tr>
      <w:tr w:rsidR="00000000" w:rsidRPr="006D5B48">
        <w:trPr>
          <w:tblCellSpacing w:w="15" w:type="dxa"/>
        </w:trPr>
        <w:tc>
          <w:tcPr>
            <w:tcW w:w="5000" w:type="pct"/>
            <w:gridSpan w:val="2"/>
            <w:vAlign w:val="center"/>
            <w:hideMark/>
          </w:tcPr>
          <w:p w:rsidR="00000000" w:rsidRPr="006D5B48" w:rsidRDefault="00470610">
            <w:pPr>
              <w:rPr>
                <w:rFonts w:eastAsia="Times New Roman"/>
                <w:u w:val="single"/>
              </w:rPr>
            </w:pPr>
            <w:r w:rsidRPr="006D5B48">
              <w:rPr>
                <w:rFonts w:eastAsia="Times New Roman"/>
                <w:u w:val="single"/>
              </w:rPr>
              <w:lastRenderedPageBreak/>
              <w:t> </w:t>
            </w:r>
          </w:p>
        </w:tc>
      </w:tr>
    </w:tbl>
    <w:p w:rsidR="00470610" w:rsidRPr="006D5B48" w:rsidRDefault="00470610">
      <w:pPr>
        <w:pStyle w:val="NormalWeb"/>
        <w:pageBreakBefore/>
        <w:spacing w:before="0" w:beforeAutospacing="0" w:after="0" w:afterAutospacing="0"/>
        <w:rPr>
          <w:vanish/>
          <w:u w:val="single"/>
        </w:rPr>
      </w:pPr>
    </w:p>
    <w:sectPr w:rsidR="00470610" w:rsidRPr="006D5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D5B48"/>
    <w:rsid w:val="00470610"/>
    <w:rsid w:val="006D5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10AF9-3012-47EC-B92F-0C5407F0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2021-03-29T14:43:00Z</dcterms:created>
  <dcterms:modified xsi:type="dcterms:W3CDTF">2021-03-29T14:43:00Z</dcterms:modified>
</cp:coreProperties>
</file>