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85E7FF"/>
            <w:vAlign w:val="center"/>
            <w:hideMark/>
          </w:tcPr>
          <w:p w:rsidR="00000000" w:rsidRDefault="002A6CE4">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85E7FF"/>
            <w:vAlign w:val="center"/>
            <w:hideMark/>
          </w:tcPr>
          <w:p w:rsidR="00000000" w:rsidRDefault="002A6CE4">
            <w:pPr>
              <w:rPr>
                <w:rFonts w:eastAsia="Times New Roman"/>
              </w:rPr>
            </w:pPr>
            <w:r>
              <w:rPr>
                <w:rFonts w:eastAsia="Times New Roman"/>
              </w:rPr>
              <w:t> </w:t>
            </w:r>
          </w:p>
        </w:tc>
      </w:tr>
      <w:tr w:rsidR="00000000">
        <w:trPr>
          <w:tblCellSpacing w:w="15" w:type="dxa"/>
        </w:trPr>
        <w:tc>
          <w:tcPr>
            <w:tcW w:w="5000" w:type="pct"/>
            <w:gridSpan w:val="7"/>
            <w:shd w:val="clear" w:color="auto" w:fill="85E7FF"/>
            <w:hideMark/>
          </w:tcPr>
          <w:p w:rsidR="00000000" w:rsidRDefault="002A6CE4">
            <w:pPr>
              <w:jc w:val="center"/>
              <w:rPr>
                <w:rFonts w:eastAsia="Times New Roman"/>
                <w:color w:val="000000"/>
              </w:rPr>
            </w:pPr>
            <w:r>
              <w:rPr>
                <w:rFonts w:eastAsia="Times New Roman"/>
                <w:i/>
                <w:iCs/>
                <w:color w:val="000000"/>
              </w:rPr>
              <w:t>Audit and Governance Committee No 21</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 w:type="pct"/>
            <w:hideMark/>
          </w:tcPr>
          <w:p w:rsidR="00000000" w:rsidRDefault="002A6CE4">
            <w:pPr>
              <w:jc w:val="right"/>
              <w:rPr>
                <w:rFonts w:eastAsia="Times New Roman"/>
              </w:rPr>
            </w:pPr>
            <w:r>
              <w:rPr>
                <w:rFonts w:eastAsia="Times New Roman"/>
              </w:rPr>
              <w:t>Date:</w:t>
            </w:r>
          </w:p>
        </w:tc>
        <w:tc>
          <w:tcPr>
            <w:tcW w:w="50" w:type="pct"/>
            <w:vAlign w:val="center"/>
            <w:hideMark/>
          </w:tcPr>
          <w:p w:rsidR="00000000" w:rsidRDefault="002A6CE4">
            <w:pPr>
              <w:rPr>
                <w:rFonts w:eastAsia="Times New Roman"/>
              </w:rPr>
            </w:pPr>
            <w:r>
              <w:rPr>
                <w:rFonts w:eastAsia="Times New Roman"/>
              </w:rPr>
              <w:t> </w:t>
            </w:r>
          </w:p>
        </w:tc>
        <w:tc>
          <w:tcPr>
            <w:tcW w:w="1750" w:type="pct"/>
            <w:hideMark/>
          </w:tcPr>
          <w:p w:rsidR="00000000" w:rsidRDefault="002A6CE4">
            <w:pPr>
              <w:rPr>
                <w:rFonts w:eastAsia="Times New Roman"/>
              </w:rPr>
            </w:pPr>
            <w:r>
              <w:rPr>
                <w:rFonts w:eastAsia="Times New Roman"/>
                <w:i/>
                <w:iCs/>
              </w:rPr>
              <w:t>10/11/2020 (Tuesday)</w:t>
            </w:r>
          </w:p>
        </w:tc>
        <w:tc>
          <w:tcPr>
            <w:tcW w:w="100" w:type="pct"/>
            <w:vAlign w:val="center"/>
            <w:hideMark/>
          </w:tcPr>
          <w:p w:rsidR="00000000" w:rsidRDefault="002A6CE4">
            <w:pPr>
              <w:rPr>
                <w:rFonts w:eastAsia="Times New Roman"/>
              </w:rPr>
            </w:pPr>
            <w:r>
              <w:rPr>
                <w:rFonts w:eastAsia="Times New Roman"/>
              </w:rPr>
              <w:t> </w:t>
            </w:r>
          </w:p>
        </w:tc>
        <w:tc>
          <w:tcPr>
            <w:tcW w:w="500" w:type="pct"/>
            <w:hideMark/>
          </w:tcPr>
          <w:p w:rsidR="00000000" w:rsidRDefault="002A6CE4">
            <w:pPr>
              <w:jc w:val="right"/>
              <w:rPr>
                <w:rFonts w:eastAsia="Times New Roman"/>
              </w:rPr>
            </w:pPr>
            <w:r>
              <w:rPr>
                <w:rFonts w:eastAsia="Times New Roman"/>
              </w:rPr>
              <w:t>Time:</w:t>
            </w:r>
          </w:p>
        </w:tc>
        <w:tc>
          <w:tcPr>
            <w:tcW w:w="50" w:type="pct"/>
            <w:vAlign w:val="center"/>
            <w:hideMark/>
          </w:tcPr>
          <w:p w:rsidR="00000000" w:rsidRDefault="002A6CE4">
            <w:pPr>
              <w:rPr>
                <w:rFonts w:eastAsia="Times New Roman"/>
              </w:rPr>
            </w:pPr>
            <w:r>
              <w:rPr>
                <w:rFonts w:eastAsia="Times New Roman"/>
              </w:rPr>
              <w:t> </w:t>
            </w:r>
          </w:p>
        </w:tc>
        <w:tc>
          <w:tcPr>
            <w:tcW w:w="1750" w:type="pct"/>
            <w:hideMark/>
          </w:tcPr>
          <w:p w:rsidR="00000000" w:rsidRDefault="002A6CE4">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 w:type="pct"/>
            <w:hideMark/>
          </w:tcPr>
          <w:p w:rsidR="00000000" w:rsidRDefault="002A6CE4">
            <w:pPr>
              <w:jc w:val="right"/>
              <w:rPr>
                <w:rFonts w:eastAsia="Times New Roman"/>
              </w:rPr>
            </w:pPr>
            <w:r>
              <w:rPr>
                <w:rFonts w:eastAsia="Times New Roman"/>
              </w:rPr>
              <w:t>Venue:</w:t>
            </w:r>
          </w:p>
        </w:tc>
        <w:tc>
          <w:tcPr>
            <w:tcW w:w="50" w:type="pct"/>
            <w:vAlign w:val="center"/>
            <w:hideMark/>
          </w:tcPr>
          <w:p w:rsidR="00000000" w:rsidRDefault="002A6CE4">
            <w:pPr>
              <w:rPr>
                <w:rFonts w:eastAsia="Times New Roman"/>
              </w:rPr>
            </w:pPr>
            <w:r>
              <w:rPr>
                <w:rFonts w:eastAsia="Times New Roman"/>
              </w:rPr>
              <w:t> </w:t>
            </w:r>
          </w:p>
        </w:tc>
        <w:tc>
          <w:tcPr>
            <w:tcW w:w="1750" w:type="pct"/>
            <w:hideMark/>
          </w:tcPr>
          <w:p w:rsidR="00000000" w:rsidRDefault="002A6CE4">
            <w:pPr>
              <w:rPr>
                <w:rFonts w:eastAsia="Times New Roman"/>
              </w:rPr>
            </w:pPr>
            <w:r>
              <w:rPr>
                <w:rFonts w:eastAsia="Times New Roman"/>
                <w:i/>
                <w:iCs/>
              </w:rPr>
              <w:t>Via Teams</w:t>
            </w:r>
          </w:p>
        </w:tc>
        <w:tc>
          <w:tcPr>
            <w:tcW w:w="100" w:type="pct"/>
            <w:vAlign w:val="center"/>
            <w:hideMark/>
          </w:tcPr>
          <w:p w:rsidR="00000000" w:rsidRDefault="002A6CE4">
            <w:pPr>
              <w:rPr>
                <w:rFonts w:eastAsia="Times New Roman"/>
              </w:rPr>
            </w:pPr>
            <w:r>
              <w:rPr>
                <w:rFonts w:eastAsia="Times New Roman"/>
              </w:rPr>
              <w:t> </w:t>
            </w:r>
          </w:p>
        </w:tc>
        <w:tc>
          <w:tcPr>
            <w:tcW w:w="500" w:type="pct"/>
            <w:hideMark/>
          </w:tcPr>
          <w:p w:rsidR="00000000" w:rsidRDefault="002A6CE4">
            <w:pPr>
              <w:jc w:val="right"/>
              <w:rPr>
                <w:rFonts w:eastAsia="Times New Roman"/>
              </w:rPr>
            </w:pPr>
            <w:r>
              <w:rPr>
                <w:rFonts w:eastAsia="Times New Roman"/>
              </w:rPr>
              <w:t>Committee:</w:t>
            </w:r>
          </w:p>
        </w:tc>
        <w:tc>
          <w:tcPr>
            <w:tcW w:w="50" w:type="pct"/>
            <w:vAlign w:val="center"/>
            <w:hideMark/>
          </w:tcPr>
          <w:p w:rsidR="00000000" w:rsidRDefault="002A6CE4">
            <w:pPr>
              <w:rPr>
                <w:rFonts w:eastAsia="Times New Roman"/>
              </w:rPr>
            </w:pPr>
            <w:r>
              <w:rPr>
                <w:rFonts w:eastAsia="Times New Roman"/>
              </w:rPr>
              <w:t> </w:t>
            </w:r>
          </w:p>
        </w:tc>
        <w:tc>
          <w:tcPr>
            <w:tcW w:w="1750" w:type="pct"/>
            <w:hideMark/>
          </w:tcPr>
          <w:p w:rsidR="00000000" w:rsidRDefault="002A6CE4">
            <w:pPr>
              <w:rPr>
                <w:rFonts w:eastAsia="Times New Roman"/>
              </w:rPr>
            </w:pPr>
            <w:r>
              <w:rPr>
                <w:rFonts w:eastAsia="Times New Roman"/>
                <w:i/>
                <w:iCs/>
              </w:rPr>
              <w:t>Audit and Governance</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 w:type="pct"/>
            <w:hideMark/>
          </w:tcPr>
          <w:p w:rsidR="00000000" w:rsidRDefault="002A6CE4">
            <w:pPr>
              <w:jc w:val="right"/>
              <w:rPr>
                <w:rFonts w:eastAsia="Times New Roman"/>
              </w:rPr>
            </w:pPr>
            <w:r>
              <w:rPr>
                <w:rFonts w:eastAsia="Times New Roman"/>
              </w:rPr>
              <w:t>Notes:</w:t>
            </w:r>
          </w:p>
        </w:tc>
        <w:tc>
          <w:tcPr>
            <w:tcW w:w="50" w:type="pct"/>
            <w:vAlign w:val="center"/>
            <w:hideMark/>
          </w:tcPr>
          <w:p w:rsidR="00000000" w:rsidRDefault="002A6CE4">
            <w:pPr>
              <w:rPr>
                <w:rFonts w:eastAsia="Times New Roman"/>
              </w:rPr>
            </w:pPr>
            <w:r>
              <w:rPr>
                <w:rFonts w:eastAsia="Times New Roman"/>
              </w:rPr>
              <w:t> </w:t>
            </w:r>
          </w:p>
        </w:tc>
        <w:tc>
          <w:tcPr>
            <w:tcW w:w="2700" w:type="pct"/>
            <w:gridSpan w:val="5"/>
            <w:hideMark/>
          </w:tcPr>
          <w:p w:rsidR="00000000" w:rsidRDefault="002A6CE4">
            <w:pPr>
              <w:rPr>
                <w:rFonts w:eastAsia="Times New Roman"/>
              </w:rPr>
            </w:pPr>
            <w:r>
              <w:rPr>
                <w:rFonts w:eastAsia="Times New Roman"/>
                <w:i/>
                <w:iCs/>
              </w:rPr>
              <w:t>The meeting will be held via video conference.</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 w:type="pct"/>
            <w:hideMark/>
          </w:tcPr>
          <w:p w:rsidR="00000000" w:rsidRDefault="002A6CE4">
            <w:pPr>
              <w:jc w:val="right"/>
              <w:rPr>
                <w:rFonts w:eastAsia="Times New Roman"/>
              </w:rPr>
            </w:pPr>
            <w:r>
              <w:rPr>
                <w:rFonts w:eastAsia="Times New Roman"/>
              </w:rPr>
              <w:t>Present:</w:t>
            </w:r>
          </w:p>
        </w:tc>
        <w:tc>
          <w:tcPr>
            <w:tcW w:w="50" w:type="pct"/>
            <w:vAlign w:val="center"/>
            <w:hideMark/>
          </w:tcPr>
          <w:p w:rsidR="00000000" w:rsidRDefault="002A6CE4">
            <w:pPr>
              <w:rPr>
                <w:rFonts w:eastAsia="Times New Roman"/>
              </w:rPr>
            </w:pPr>
            <w:r>
              <w:rPr>
                <w:rFonts w:eastAsia="Times New Roman"/>
              </w:rPr>
              <w:t> </w:t>
            </w:r>
          </w:p>
        </w:tc>
        <w:tc>
          <w:tcPr>
            <w:tcW w:w="2700" w:type="pct"/>
            <w:gridSpan w:val="5"/>
            <w:hideMark/>
          </w:tcPr>
          <w:p w:rsidR="00000000" w:rsidRDefault="002A6CE4">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Jane Booker (Chairman), Robert Wallace and Robin Newton-</w:t>
            </w:r>
            <w:proofErr w:type="spellStart"/>
            <w:r>
              <w:rPr>
                <w:rFonts w:eastAsia="Times New Roman"/>
                <w:i/>
                <w:iCs/>
              </w:rPr>
              <w:t>Syms</w:t>
            </w:r>
            <w:proofErr w:type="spellEnd"/>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 w:type="pct"/>
            <w:hideMark/>
          </w:tcPr>
          <w:p w:rsidR="00000000" w:rsidRDefault="002A6CE4">
            <w:pPr>
              <w:jc w:val="right"/>
              <w:rPr>
                <w:rFonts w:eastAsia="Times New Roman"/>
              </w:rPr>
            </w:pPr>
            <w:r>
              <w:rPr>
                <w:rFonts w:eastAsia="Times New Roman"/>
              </w:rPr>
              <w:t>Attending:</w:t>
            </w:r>
          </w:p>
        </w:tc>
        <w:tc>
          <w:tcPr>
            <w:tcW w:w="50" w:type="pct"/>
            <w:vAlign w:val="center"/>
            <w:hideMark/>
          </w:tcPr>
          <w:p w:rsidR="00000000" w:rsidRDefault="002A6CE4">
            <w:pPr>
              <w:rPr>
                <w:rFonts w:eastAsia="Times New Roman"/>
              </w:rPr>
            </w:pPr>
            <w:r>
              <w:rPr>
                <w:rFonts w:eastAsia="Times New Roman"/>
              </w:rPr>
              <w:t> </w:t>
            </w:r>
          </w:p>
        </w:tc>
        <w:tc>
          <w:tcPr>
            <w:tcW w:w="2700" w:type="pct"/>
            <w:gridSpan w:val="5"/>
            <w:hideMark/>
          </w:tcPr>
          <w:p w:rsidR="00000000" w:rsidRDefault="002A6CE4">
            <w:pPr>
              <w:rPr>
                <w:rFonts w:eastAsia="Times New Roman"/>
              </w:rPr>
            </w:pPr>
            <w:r>
              <w:rPr>
                <w:rFonts w:eastAsia="Times New Roman"/>
                <w:i/>
                <w:iCs/>
              </w:rPr>
              <w:t>Alison Robinson (Principal) and Joanne Sherrington (Deputy Principal)</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r w:rsidR="00000000">
        <w:trPr>
          <w:tblCellSpacing w:w="15" w:type="dxa"/>
        </w:trPr>
        <w:tc>
          <w:tcPr>
            <w:tcW w:w="500" w:type="pct"/>
            <w:hideMark/>
          </w:tcPr>
          <w:p w:rsidR="00000000" w:rsidRDefault="002A6CE4">
            <w:pPr>
              <w:jc w:val="right"/>
              <w:rPr>
                <w:rFonts w:eastAsia="Times New Roman"/>
              </w:rPr>
            </w:pPr>
            <w:r>
              <w:rPr>
                <w:rFonts w:eastAsia="Times New Roman"/>
              </w:rPr>
              <w:t>Clerks:</w:t>
            </w:r>
          </w:p>
        </w:tc>
        <w:tc>
          <w:tcPr>
            <w:tcW w:w="50" w:type="pct"/>
            <w:vAlign w:val="center"/>
            <w:hideMark/>
          </w:tcPr>
          <w:p w:rsidR="00000000" w:rsidRDefault="002A6CE4">
            <w:pPr>
              <w:rPr>
                <w:rFonts w:eastAsia="Times New Roman"/>
              </w:rPr>
            </w:pPr>
            <w:r>
              <w:rPr>
                <w:rFonts w:eastAsia="Times New Roman"/>
              </w:rPr>
              <w:t> </w:t>
            </w:r>
          </w:p>
        </w:tc>
        <w:tc>
          <w:tcPr>
            <w:tcW w:w="2700" w:type="pct"/>
            <w:gridSpan w:val="5"/>
            <w:hideMark/>
          </w:tcPr>
          <w:p w:rsidR="00000000" w:rsidRDefault="002A6CE4">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2A6CE4">
            <w:pPr>
              <w:rPr>
                <w:rFonts w:eastAsia="Times New Roman"/>
              </w:rPr>
            </w:pPr>
            <w:r>
              <w:rPr>
                <w:rFonts w:eastAsia="Times New Roman"/>
              </w:rPr>
              <w:t> </w:t>
            </w:r>
          </w:p>
        </w:tc>
      </w:tr>
    </w:tbl>
    <w:p w:rsidR="00000000" w:rsidRDefault="002A6CE4">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2A6CE4">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rPr>
              <w:t>Item number:</w:t>
            </w:r>
          </w:p>
        </w:tc>
        <w:tc>
          <w:tcPr>
            <w:tcW w:w="4000" w:type="pct"/>
            <w:hideMark/>
          </w:tcPr>
          <w:p w:rsidR="00000000" w:rsidRDefault="002A6CE4">
            <w:pPr>
              <w:rPr>
                <w:rFonts w:eastAsia="Times New Roman"/>
              </w:rPr>
            </w:pPr>
            <w:r>
              <w:rPr>
                <w:rFonts w:eastAsia="Times New Roman"/>
              </w:rPr>
              <w:t>Item description:</w:t>
            </w:r>
          </w:p>
        </w:tc>
      </w:tr>
      <w:tr w:rsidR="00000000">
        <w:trPr>
          <w:tblCellSpacing w:w="15" w:type="dxa"/>
        </w:trPr>
        <w:tc>
          <w:tcPr>
            <w:tcW w:w="1000" w:type="pct"/>
            <w:hideMark/>
          </w:tcPr>
          <w:p w:rsidR="00000000" w:rsidRDefault="002A6CE4">
            <w:pPr>
              <w:rPr>
                <w:rFonts w:eastAsia="Times New Roman"/>
              </w:rPr>
            </w:pPr>
            <w:r>
              <w:rPr>
                <w:rFonts w:eastAsia="Times New Roman"/>
              </w:rPr>
              <w:t>(and category)</w:t>
            </w:r>
          </w:p>
        </w:tc>
        <w:tc>
          <w:tcPr>
            <w:tcW w:w="4000" w:type="pct"/>
            <w:hideMark/>
          </w:tcPr>
          <w:p w:rsidR="00000000" w:rsidRDefault="002A6CE4">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35.20</w:t>
            </w:r>
          </w:p>
        </w:tc>
        <w:tc>
          <w:tcPr>
            <w:tcW w:w="4000" w:type="pct"/>
            <w:hideMark/>
          </w:tcPr>
          <w:p w:rsidR="00000000" w:rsidRDefault="002A6CE4">
            <w:pPr>
              <w:rPr>
                <w:rFonts w:eastAsia="Times New Roman"/>
              </w:rPr>
            </w:pPr>
            <w:r>
              <w:rPr>
                <w:rFonts w:eastAsia="Times New Roman"/>
                <w:b/>
                <w:bCs/>
                <w:i/>
                <w:iCs/>
              </w:rPr>
              <w:t>Attendance of College Management Staff</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p w:rsidR="00593C60" w:rsidRDefault="002A6CE4">
            <w:pPr>
              <w:rPr>
                <w:rFonts w:eastAsia="Times New Roman"/>
              </w:rPr>
            </w:pPr>
            <w:r>
              <w:rPr>
                <w:rFonts w:eastAsia="Times New Roman"/>
              </w:rPr>
              <w:t>Section 8.1 of the current Constitution and Terms of Reference for the Audit &amp; Governance Committee states:</w:t>
            </w:r>
          </w:p>
          <w:p w:rsidR="00593C60" w:rsidRDefault="00593C60">
            <w:pPr>
              <w:rPr>
                <w:rFonts w:eastAsia="Times New Roman"/>
              </w:rPr>
            </w:pPr>
          </w:p>
          <w:p w:rsidR="00593C60" w:rsidRDefault="002A6CE4">
            <w:pPr>
              <w:rPr>
                <w:rFonts w:eastAsia="Times New Roman"/>
                <w:i/>
                <w:iCs/>
              </w:rPr>
            </w:pPr>
            <w:r>
              <w:rPr>
                <w:rFonts w:eastAsia="Times New Roman"/>
              </w:rPr>
              <w:br w:type="page"/>
            </w:r>
            <w:r>
              <w:rPr>
                <w:rFonts w:eastAsia="Times New Roman"/>
              </w:rPr>
              <w:br w:type="page"/>
            </w:r>
            <w:r>
              <w:rPr>
                <w:rStyle w:val="Emphasis"/>
                <w:rFonts w:eastAsia="Times New Roman"/>
              </w:rPr>
              <w:t>"The Principal or any other senior manager who is responsible for the College's internal control a</w:t>
            </w:r>
            <w:r>
              <w:rPr>
                <w:rStyle w:val="Emphasis"/>
                <w:rFonts w:eastAsia="Times New Roman"/>
              </w:rPr>
              <w:t>nd representatives of the External and Internal Auditors shall normally attend meetings at the invitation of the Committee, and the Committee shall have the power to invite such other persons to attend meetings as may be desirable and necessary".</w:t>
            </w:r>
            <w:r>
              <w:rPr>
                <w:rFonts w:eastAsia="Times New Roman"/>
                <w:i/>
                <w:iCs/>
              </w:rPr>
              <w:br w:type="page"/>
            </w:r>
            <w:r>
              <w:rPr>
                <w:rFonts w:eastAsia="Times New Roman"/>
                <w:i/>
                <w:iCs/>
              </w:rPr>
              <w:br w:type="page"/>
            </w:r>
          </w:p>
          <w:p w:rsidR="00593C60" w:rsidRDefault="00593C60">
            <w:pPr>
              <w:rPr>
                <w:rFonts w:eastAsia="Times New Roman"/>
                <w:i/>
                <w:iCs/>
              </w:rPr>
            </w:pPr>
          </w:p>
          <w:p w:rsidR="00593C60" w:rsidRDefault="002A6CE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93C60" w:rsidRDefault="00593C60">
            <w:pPr>
              <w:rPr>
                <w:rFonts w:eastAsia="Times New Roman"/>
                <w:b/>
                <w:bCs/>
              </w:rPr>
            </w:pPr>
          </w:p>
          <w:p w:rsidR="00000000" w:rsidRDefault="002A6CE4">
            <w:pPr>
              <w:rPr>
                <w:rFonts w:eastAsia="Times New Roman"/>
              </w:rPr>
            </w:pPr>
            <w:r>
              <w:rPr>
                <w:rStyle w:val="Strong"/>
                <w:rFonts w:eastAsia="Times New Roman"/>
              </w:rPr>
              <w:t>That the Audit &amp; Governance Committee confirm the attendance of College Management staff.</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36.20</w:t>
            </w:r>
          </w:p>
        </w:tc>
        <w:tc>
          <w:tcPr>
            <w:tcW w:w="4000" w:type="pct"/>
            <w:hideMark/>
          </w:tcPr>
          <w:p w:rsidR="00000000" w:rsidRDefault="002A6CE4">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Record</w:t>
            </w:r>
          </w:p>
        </w:tc>
        <w:tc>
          <w:tcPr>
            <w:tcW w:w="4000" w:type="pct"/>
            <w:hideMark/>
          </w:tcPr>
          <w:p w:rsidR="00000000" w:rsidRDefault="002A6CE4">
            <w:pPr>
              <w:rPr>
                <w:rFonts w:eastAsia="Times New Roman"/>
              </w:rPr>
            </w:pPr>
            <w:r>
              <w:rPr>
                <w:rFonts w:eastAsia="Times New Roman"/>
              </w:rPr>
              <w:t>Apologies had been received from Rob Wallace.</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37.20</w:t>
            </w:r>
          </w:p>
        </w:tc>
        <w:tc>
          <w:tcPr>
            <w:tcW w:w="4000" w:type="pct"/>
            <w:hideMark/>
          </w:tcPr>
          <w:p w:rsidR="00000000" w:rsidRDefault="002A6CE4">
            <w:pPr>
              <w:rPr>
                <w:rFonts w:eastAsia="Times New Roman"/>
              </w:rPr>
            </w:pPr>
            <w:r>
              <w:rPr>
                <w:rFonts w:eastAsia="Times New Roman"/>
                <w:b/>
                <w:bCs/>
                <w:i/>
                <w:iCs/>
              </w:rPr>
              <w:t>Appointment of Chair and Vice Chair of Audit and Governance Committee</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593C60" w:rsidRDefault="002A6CE4">
                  <w:pPr>
                    <w:pStyle w:val="NormalWeb"/>
                    <w:framePr w:hSpace="45" w:wrap="around" w:vAnchor="text" w:hAnchor="text"/>
                  </w:pPr>
                  <w:r>
                    <w:t>The Committee considered the appointment of a Chair and Vice-Chair for the coming academic year.</w:t>
                  </w:r>
                  <w:r>
                    <w:br w:type="page"/>
                  </w:r>
                  <w:r>
                    <w:br w:type="page"/>
                  </w:r>
                </w:p>
                <w:p w:rsidR="00000000" w:rsidRPr="00593C60" w:rsidRDefault="002A6CE4">
                  <w:pPr>
                    <w:pStyle w:val="NormalWeb"/>
                    <w:framePr w:hSpace="45" w:wrap="around" w:vAnchor="text" w:hAnchor="text"/>
                    <w:rPr>
                      <w:b/>
                    </w:rPr>
                  </w:pPr>
                  <w:r w:rsidRPr="00593C60">
                    <w:rPr>
                      <w:rStyle w:val="Strong"/>
                      <w:b w:val="0"/>
                    </w:rPr>
                    <w:t>Following due process it was </w:t>
                  </w:r>
                </w:p>
                <w:p w:rsidR="00593C60" w:rsidRDefault="002A6CE4">
                  <w:pPr>
                    <w:pStyle w:val="NormalWeb"/>
                    <w:framePr w:hSpace="45" w:wrap="around" w:vAnchor="text" w:hAnchor="text"/>
                    <w:rPr>
                      <w:rStyle w:val="Strong"/>
                    </w:rPr>
                  </w:pPr>
                  <w:r>
                    <w:rPr>
                      <w:rStyle w:val="Strong"/>
                    </w:rPr>
                    <w:t>Resolved:</w:t>
                  </w:r>
                </w:p>
                <w:p w:rsidR="00593C60" w:rsidRDefault="002A6CE4" w:rsidP="00593C60">
                  <w:pPr>
                    <w:pStyle w:val="NormalWeb"/>
                    <w:framePr w:hSpace="45" w:wrap="around" w:vAnchor="text" w:hAnchor="text"/>
                    <w:spacing w:before="0" w:beforeAutospacing="0" w:after="0" w:afterAutospacing="0"/>
                    <w:rPr>
                      <w:rStyle w:val="Strong"/>
                    </w:rPr>
                  </w:pPr>
                  <w:r>
                    <w:rPr>
                      <w:b/>
                      <w:bCs/>
                    </w:rPr>
                    <w:br w:type="page"/>
                  </w:r>
                  <w:r>
                    <w:rPr>
                      <w:b/>
                      <w:bCs/>
                    </w:rPr>
                    <w:br w:type="page"/>
                  </w:r>
                  <w:r>
                    <w:rPr>
                      <w:rStyle w:val="Strong"/>
                    </w:rPr>
                    <w:t>1.  That Jane Booker be appointed Cha</w:t>
                  </w:r>
                  <w:r>
                    <w:rPr>
                      <w:rStyle w:val="Strong"/>
                    </w:rPr>
                    <w:t xml:space="preserve">ir of the Audit </w:t>
                  </w:r>
                  <w:r w:rsidR="00593C60">
                    <w:rPr>
                      <w:rStyle w:val="Strong"/>
                    </w:rPr>
                    <w:t>and            Governance a</w:t>
                  </w:r>
                  <w:r>
                    <w:rPr>
                      <w:rStyle w:val="Strong"/>
                    </w:rPr>
                    <w:t xml:space="preserve">nd </w:t>
                  </w:r>
                  <w:r>
                    <w:rPr>
                      <w:rStyle w:val="Strong"/>
                    </w:rPr>
                    <w:t>Governance Committee for the Academic Year 2020-2021.</w:t>
                  </w:r>
                </w:p>
                <w:p w:rsidR="00593C60" w:rsidRPr="00593C60" w:rsidRDefault="00593C60" w:rsidP="00593C60">
                  <w:pPr>
                    <w:pStyle w:val="NormalWeb"/>
                    <w:framePr w:hSpace="45" w:wrap="around" w:vAnchor="text" w:hAnchor="text"/>
                    <w:spacing w:before="0" w:beforeAutospacing="0" w:after="0" w:afterAutospacing="0"/>
                    <w:rPr>
                      <w:b/>
                      <w:bCs/>
                    </w:rPr>
                  </w:pPr>
                </w:p>
              </w:tc>
            </w:tr>
          </w:tbl>
          <w:p w:rsidR="00000000" w:rsidRDefault="002A6CE4" w:rsidP="00593C60">
            <w:pPr>
              <w:rPr>
                <w:rFonts w:eastAsia="Times New Roman"/>
              </w:rPr>
            </w:pPr>
            <w:r>
              <w:rPr>
                <w:rStyle w:val="Strong"/>
                <w:rFonts w:eastAsia="Times New Roman"/>
              </w:rPr>
              <w:t>2.  That Rob Wallace be appointed Vice-Chair of the Audit and</w:t>
            </w:r>
            <w:r w:rsidR="00593C60">
              <w:rPr>
                <w:rStyle w:val="Strong"/>
                <w:rFonts w:eastAsia="Times New Roman"/>
              </w:rPr>
              <w:t xml:space="preserve"> </w:t>
            </w:r>
            <w:r>
              <w:rPr>
                <w:rStyle w:val="Strong"/>
                <w:rFonts w:eastAsia="Times New Roman"/>
              </w:rPr>
              <w:t>Governance Committee for the Academic Year 2020-2021.</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38.20</w:t>
            </w:r>
          </w:p>
        </w:tc>
        <w:tc>
          <w:tcPr>
            <w:tcW w:w="4000" w:type="pct"/>
            <w:hideMark/>
          </w:tcPr>
          <w:p w:rsidR="00000000" w:rsidRDefault="002A6CE4">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p w:rsidR="00000000" w:rsidRDefault="002A6CE4">
            <w:pPr>
              <w:rPr>
                <w:rFonts w:eastAsia="Times New Roman"/>
              </w:rPr>
            </w:pPr>
            <w:r>
              <w:rPr>
                <w:rFonts w:eastAsia="Times New Roman"/>
              </w:rPr>
              <w:t>The public minutes of the Audit and Governance Committee meeting number 20 held on Tuesday 16 June 2020, published on the Extranet, were signed and agreed as a true and correct record. </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39.20</w:t>
            </w:r>
          </w:p>
        </w:tc>
        <w:tc>
          <w:tcPr>
            <w:tcW w:w="4000" w:type="pct"/>
            <w:hideMark/>
          </w:tcPr>
          <w:p w:rsidR="00000000" w:rsidRDefault="002A6CE4">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lastRenderedPageBreak/>
              <w:t>Decision</w:t>
            </w:r>
          </w:p>
        </w:tc>
        <w:tc>
          <w:tcPr>
            <w:tcW w:w="4000" w:type="pct"/>
            <w:hideMark/>
          </w:tcPr>
          <w:p w:rsidR="00000000" w:rsidRDefault="002A6CE4">
            <w:pPr>
              <w:rPr>
                <w:rFonts w:eastAsia="Times New Roman"/>
              </w:rPr>
            </w:pPr>
            <w:r>
              <w:rPr>
                <w:rFonts w:eastAsia="Times New Roman"/>
              </w:rPr>
              <w:t>There were no declarat</w:t>
            </w:r>
            <w:r>
              <w:rPr>
                <w:rFonts w:eastAsia="Times New Roman"/>
              </w:rPr>
              <w: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40.20</w:t>
            </w:r>
          </w:p>
        </w:tc>
        <w:tc>
          <w:tcPr>
            <w:tcW w:w="4000" w:type="pct"/>
            <w:hideMark/>
          </w:tcPr>
          <w:p w:rsidR="00000000" w:rsidRDefault="002A6CE4">
            <w:pPr>
              <w:rPr>
                <w:rFonts w:eastAsia="Times New Roman"/>
              </w:rPr>
            </w:pPr>
            <w:r>
              <w:rPr>
                <w:rFonts w:eastAsia="Times New Roman"/>
                <w:b/>
                <w:bCs/>
                <w:i/>
                <w:iCs/>
              </w:rPr>
              <w:t>Internal Audit Progress and Summary Report</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p w:rsidR="00593C60" w:rsidRDefault="002A6CE4">
            <w:pPr>
              <w:rPr>
                <w:rFonts w:eastAsia="Times New Roman"/>
              </w:rPr>
            </w:pPr>
            <w:r>
              <w:rPr>
                <w:rFonts w:eastAsia="Times New Roman"/>
              </w:rPr>
              <w:t xml:space="preserve">The Committee received and noted the above report, which contained information detailing progress to date on all recommendations made. </w:t>
            </w:r>
          </w:p>
          <w:p w:rsidR="00593C60" w:rsidRDefault="00593C60">
            <w:pPr>
              <w:rPr>
                <w:rFonts w:eastAsia="Times New Roman"/>
              </w:rPr>
            </w:pPr>
          </w:p>
          <w:p w:rsidR="00593C60" w:rsidRDefault="002A6CE4">
            <w:pPr>
              <w:rPr>
                <w:rFonts w:eastAsia="Times New Roman"/>
              </w:rPr>
            </w:pPr>
            <w:r>
              <w:rPr>
                <w:rFonts w:eastAsia="Times New Roman"/>
              </w:rPr>
              <w:br w:type="page"/>
            </w:r>
            <w:r>
              <w:rPr>
                <w:rFonts w:eastAsia="Times New Roman"/>
              </w:rPr>
              <w:br w:type="page"/>
              <w:t xml:space="preserve">In 2017/18 a total of 21 recommendations were made of which 18 (86%) had been implemented, 1 (5%) partially completed, </w:t>
            </w:r>
            <w:r>
              <w:rPr>
                <w:rFonts w:eastAsia="Times New Roman"/>
              </w:rPr>
              <w:t>1 (10%) no longer applicable and none outstanding.</w:t>
            </w:r>
          </w:p>
          <w:p w:rsidR="00593C60" w:rsidRDefault="00593C60">
            <w:pPr>
              <w:rPr>
                <w:rFonts w:eastAsia="Times New Roman"/>
              </w:rPr>
            </w:pPr>
          </w:p>
          <w:p w:rsidR="00593C60" w:rsidRDefault="002A6CE4">
            <w:pPr>
              <w:rPr>
                <w:rFonts w:eastAsia="Times New Roman"/>
              </w:rPr>
            </w:pPr>
            <w:r>
              <w:rPr>
                <w:rFonts w:eastAsia="Times New Roman"/>
              </w:rPr>
              <w:br w:type="page"/>
            </w:r>
            <w:r>
              <w:rPr>
                <w:rFonts w:eastAsia="Times New Roman"/>
              </w:rPr>
              <w:br w:type="page"/>
              <w:t>In 2018/19 a total of 10 recommendations were made of which 9 (90%) had been implemented, 1 (10%) partially completed and none outstanding.</w:t>
            </w:r>
            <w:r>
              <w:rPr>
                <w:rFonts w:eastAsia="Times New Roman"/>
              </w:rPr>
              <w:br w:type="page"/>
            </w:r>
            <w:r>
              <w:rPr>
                <w:rFonts w:eastAsia="Times New Roman"/>
              </w:rPr>
              <w:br w:type="page"/>
            </w:r>
          </w:p>
          <w:p w:rsidR="00593C60" w:rsidRDefault="00593C60">
            <w:pPr>
              <w:rPr>
                <w:rFonts w:eastAsia="Times New Roman"/>
              </w:rPr>
            </w:pPr>
          </w:p>
          <w:p w:rsidR="00593C60" w:rsidRDefault="002A6CE4">
            <w:pPr>
              <w:rPr>
                <w:rFonts w:eastAsia="Times New Roman"/>
              </w:rPr>
            </w:pPr>
            <w:r>
              <w:rPr>
                <w:rFonts w:eastAsia="Times New Roman"/>
              </w:rPr>
              <w:t xml:space="preserve">In 2019/20 a total of 20 recommendations were made of which 13 </w:t>
            </w:r>
            <w:r>
              <w:rPr>
                <w:rFonts w:eastAsia="Times New Roman"/>
              </w:rPr>
              <w:t>(65%) had been implemented, 7 (35%) partially completed and none outstanding.</w:t>
            </w:r>
          </w:p>
          <w:p w:rsidR="00593C60" w:rsidRDefault="00593C60">
            <w:pPr>
              <w:rPr>
                <w:rFonts w:eastAsia="Times New Roman"/>
              </w:rPr>
            </w:pPr>
          </w:p>
          <w:p w:rsidR="005E42D5" w:rsidRDefault="002A6CE4" w:rsidP="00593C60">
            <w:pPr>
              <w:rPr>
                <w:rFonts w:eastAsia="Times New Roman"/>
              </w:rPr>
            </w:pPr>
            <w:r>
              <w:rPr>
                <w:rFonts w:eastAsia="Times New Roman"/>
              </w:rPr>
              <w:br w:type="page"/>
            </w:r>
            <w:r>
              <w:rPr>
                <w:rFonts w:eastAsia="Times New Roman"/>
              </w:rPr>
              <w:br w:type="page"/>
              <w:t xml:space="preserve">Governors recognised </w:t>
            </w:r>
            <w:proofErr w:type="spellStart"/>
            <w:r>
              <w:rPr>
                <w:rFonts w:eastAsia="Times New Roman"/>
              </w:rPr>
              <w:t>Covid</w:t>
            </w:r>
            <w:proofErr w:type="spellEnd"/>
            <w:r>
              <w:rPr>
                <w:rFonts w:eastAsia="Times New Roman"/>
              </w:rPr>
              <w:t xml:space="preserve"> and the lockdown had impacted on some of the 2019/2020 completion dates and requested all outstanding recommendations </w:t>
            </w:r>
            <w:r>
              <w:rPr>
                <w:rFonts w:eastAsia="Times New Roman"/>
              </w:rPr>
              <w:t xml:space="preserve">be reviewed with a revised and </w:t>
            </w:r>
            <w:r>
              <w:rPr>
                <w:rFonts w:eastAsia="Times New Roman"/>
              </w:rPr>
              <w:t>achievable completion date.</w:t>
            </w:r>
            <w:r>
              <w:rPr>
                <w:rFonts w:eastAsia="Times New Roman"/>
              </w:rPr>
              <w:br w:type="page"/>
            </w:r>
            <w:r>
              <w:rPr>
                <w:rFonts w:eastAsia="Times New Roman"/>
              </w:rPr>
              <w:br w:type="page"/>
            </w:r>
          </w:p>
          <w:p w:rsidR="005E42D5" w:rsidRDefault="005E42D5" w:rsidP="00593C60">
            <w:pPr>
              <w:rPr>
                <w:rFonts w:eastAsia="Times New Roman"/>
              </w:rPr>
            </w:pPr>
          </w:p>
          <w:p w:rsidR="005E42D5" w:rsidRDefault="002A6CE4" w:rsidP="00593C60">
            <w:pPr>
              <w:rPr>
                <w:rFonts w:eastAsia="Times New Roman"/>
              </w:rPr>
            </w:pPr>
            <w:r>
              <w:rPr>
                <w:rFonts w:eastAsia="Times New Roman"/>
              </w:rPr>
              <w:t>The Committee also sought assurance that the new Internal Auditor would include all recently completed and outstanding recommendations in their follow up report.</w:t>
            </w:r>
          </w:p>
          <w:p w:rsidR="005E42D5" w:rsidRDefault="005E42D5" w:rsidP="00593C60">
            <w:pPr>
              <w:rPr>
                <w:rFonts w:eastAsia="Times New Roman"/>
              </w:rPr>
            </w:pPr>
          </w:p>
          <w:p w:rsidR="005E42D5" w:rsidRDefault="002A6CE4" w:rsidP="00593C60">
            <w:pPr>
              <w:rPr>
                <w:rFonts w:eastAsia="Times New Roman"/>
              </w:rPr>
            </w:pPr>
            <w:r>
              <w:rPr>
                <w:rFonts w:eastAsia="Times New Roman"/>
              </w:rPr>
              <w:br w:type="page"/>
            </w:r>
            <w:r>
              <w:rPr>
                <w:rFonts w:eastAsia="Times New Roman"/>
              </w:rPr>
              <w:br w:type="page"/>
              <w:t>It was agreed that all implemented and no longer required recomm</w:t>
            </w:r>
            <w:r>
              <w:rPr>
                <w:rFonts w:eastAsia="Times New Roman"/>
              </w:rPr>
              <w:t>endations could be removed from the report. </w:t>
            </w:r>
            <w:r>
              <w:rPr>
                <w:rFonts w:eastAsia="Times New Roman"/>
              </w:rPr>
              <w:br w:type="page"/>
            </w:r>
            <w:r>
              <w:rPr>
                <w:rFonts w:eastAsia="Times New Roman"/>
              </w:rPr>
              <w:br w:type="page"/>
            </w:r>
          </w:p>
          <w:p w:rsidR="005E42D5" w:rsidRDefault="005E42D5" w:rsidP="00593C60">
            <w:pPr>
              <w:rPr>
                <w:rFonts w:eastAsia="Times New Roman"/>
              </w:rPr>
            </w:pPr>
          </w:p>
          <w:p w:rsidR="005E42D5" w:rsidRDefault="002A6CE4" w:rsidP="00593C60">
            <w:pPr>
              <w:rPr>
                <w:rStyle w:val="Strong"/>
                <w:rFonts w:eastAsia="Times New Roman"/>
              </w:rPr>
            </w:pPr>
            <w:r>
              <w:rPr>
                <w:rStyle w:val="Strong"/>
                <w:rFonts w:eastAsia="Times New Roman"/>
              </w:rPr>
              <w:t>Resolved:</w:t>
            </w:r>
          </w:p>
          <w:p w:rsidR="005E42D5" w:rsidRDefault="005E42D5" w:rsidP="00593C60">
            <w:pPr>
              <w:rPr>
                <w:rStyle w:val="Strong"/>
                <w:rFonts w:eastAsia="Times New Roman"/>
              </w:rPr>
            </w:pPr>
          </w:p>
          <w:p w:rsidR="00000000" w:rsidRDefault="002A6CE4" w:rsidP="00593C60">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41.20</w:t>
            </w:r>
          </w:p>
        </w:tc>
        <w:tc>
          <w:tcPr>
            <w:tcW w:w="4000" w:type="pct"/>
            <w:hideMark/>
          </w:tcPr>
          <w:p w:rsidR="00000000" w:rsidRDefault="002A6CE4">
            <w:pPr>
              <w:rPr>
                <w:rFonts w:eastAsia="Times New Roman"/>
              </w:rPr>
            </w:pPr>
            <w:r>
              <w:rPr>
                <w:rFonts w:eastAsia="Times New Roman"/>
                <w:b/>
                <w:bCs/>
                <w:i/>
                <w:iCs/>
              </w:rPr>
              <w:t>Review of the College Risk Appetite and Risk Register</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5E42D5" w:rsidRDefault="002A6CE4" w:rsidP="005E42D5">
                  <w:pPr>
                    <w:pStyle w:val="NormalWeb"/>
                    <w:framePr w:hSpace="45" w:wrap="around" w:vAnchor="text" w:hAnchor="text"/>
                    <w:spacing w:before="0" w:beforeAutospacing="0" w:after="0" w:afterAutospacing="0"/>
                  </w:pPr>
                  <w:r>
                    <w:t>Audit &amp; Governance Committee considered the College’s Risk </w:t>
                  </w:r>
                  <w:r>
                    <w:t>Management Framework, which comprised the risk appetite statement, risk assessment and risk heat map. Members recognised that risk management is a key enabler to the delivery of the Strategic Objectives and supports the assurance statement in evidencing th</w:t>
                  </w:r>
                  <w:r>
                    <w:t>at all risks are considered.</w:t>
                  </w:r>
                </w:p>
                <w:p w:rsidR="005E42D5" w:rsidRDefault="005E42D5" w:rsidP="005E42D5">
                  <w:pPr>
                    <w:pStyle w:val="NormalWeb"/>
                    <w:framePr w:hSpace="45" w:wrap="around" w:vAnchor="text" w:hAnchor="text"/>
                    <w:spacing w:before="0" w:beforeAutospacing="0" w:after="0" w:afterAutospacing="0"/>
                  </w:pPr>
                </w:p>
              </w:tc>
            </w:tr>
          </w:tbl>
          <w:p w:rsidR="005E42D5" w:rsidRDefault="002A6CE4">
            <w:pPr>
              <w:rPr>
                <w:rFonts w:eastAsia="Times New Roman"/>
              </w:rPr>
            </w:pPr>
            <w:r>
              <w:rPr>
                <w:rStyle w:val="Strong"/>
                <w:rFonts w:eastAsia="Times New Roman"/>
              </w:rPr>
              <w:t>Risk Appetite</w:t>
            </w:r>
            <w:r>
              <w:rPr>
                <w:rFonts w:eastAsia="Times New Roman"/>
              </w:rPr>
              <w:t xml:space="preserve"> - The section in the Risk Management Policy referring to this states: ''The College recognises that, whilst it must take steps to manage and monitor all risks, it must not allow an aversion to risk to prevent it </w:t>
            </w:r>
            <w:r>
              <w:rPr>
                <w:rFonts w:eastAsia="Times New Roman"/>
              </w:rPr>
              <w:t xml:space="preserve">from taking opportunities, which will aid its successful and innovative development in line with the Strategic Plan. Its appetite for </w:t>
            </w:r>
            <w:r>
              <w:rPr>
                <w:rFonts w:eastAsia="Times New Roman"/>
              </w:rPr>
              <w:lastRenderedPageBreak/>
              <w:t>particular risks will depend not only on the likelihood and effect of the risk (before and after controls) but also on the</w:t>
            </w:r>
            <w:r>
              <w:rPr>
                <w:rFonts w:eastAsia="Times New Roman"/>
              </w:rPr>
              <w:t xml:space="preserve"> effects of the risk on its core business, if the risk materialises. It will therefore be risk averse in core activities which, if they failed, might jeopardise the solvency of, or seriously undermine the reputation of the College, but will be risk toleran</w:t>
            </w:r>
            <w:r>
              <w:rPr>
                <w:rFonts w:eastAsia="Times New Roman"/>
              </w:rPr>
              <w:t>t in activities where failure would not cause serious financial or reputational damage but where success would lead to significant advantages to the College in achieving its Strategic Plan.  In all cases risk tolerance will be enhanced for developmental ac</w:t>
            </w:r>
            <w:r>
              <w:rPr>
                <w:rFonts w:eastAsia="Times New Roman"/>
              </w:rPr>
              <w:t>tivities, which will assist the College to develop new markets or enhance reputation even if their full objectives are not achieved.</w:t>
            </w:r>
          </w:p>
          <w:p w:rsidR="005E42D5" w:rsidRDefault="005E42D5">
            <w:pPr>
              <w:rPr>
                <w:rFonts w:eastAsia="Times New Roman"/>
              </w:rPr>
            </w:pPr>
          </w:p>
          <w:p w:rsidR="005E42D5" w:rsidRDefault="002A6CE4">
            <w:pPr>
              <w:rPr>
                <w:rFonts w:eastAsia="Times New Roman"/>
              </w:rPr>
            </w:pPr>
            <w:r>
              <w:rPr>
                <w:rFonts w:eastAsia="Times New Roman"/>
              </w:rPr>
              <w:t>''</w:t>
            </w:r>
            <w:r>
              <w:rPr>
                <w:rFonts w:eastAsia="Times New Roman"/>
              </w:rPr>
              <w:br w:type="page"/>
            </w:r>
            <w:r>
              <w:rPr>
                <w:rFonts w:eastAsia="Times New Roman"/>
              </w:rPr>
              <w:br w:type="page"/>
            </w:r>
            <w:r>
              <w:rPr>
                <w:rStyle w:val="Strong"/>
                <w:rFonts w:eastAsia="Times New Roman"/>
              </w:rPr>
              <w:t>Risk Assessment</w:t>
            </w:r>
            <w:r>
              <w:rPr>
                <w:rFonts w:eastAsia="Times New Roman"/>
              </w:rPr>
              <w:t xml:space="preserve"> - Audit &amp; Governance Committee gave attention to the full risk register, a live document that is continu</w:t>
            </w:r>
            <w:r>
              <w:rPr>
                <w:rFonts w:eastAsia="Times New Roman"/>
              </w:rPr>
              <w:t xml:space="preserve">ously updated.  The current register was dominated by reference to </w:t>
            </w:r>
            <w:proofErr w:type="spellStart"/>
            <w:r>
              <w:rPr>
                <w:rFonts w:eastAsia="Times New Roman"/>
              </w:rPr>
              <w:t>Covid</w:t>
            </w:r>
            <w:proofErr w:type="spellEnd"/>
            <w:r>
              <w:rPr>
                <w:rFonts w:eastAsia="Times New Roman"/>
              </w:rPr>
              <w:t xml:space="preserve"> and the Cyber-attack which had severely impacted on the College's operations. The risk register was sub-divided into seven areas, these being: Strategic, Financial, Curriculum, Govern</w:t>
            </w:r>
            <w:r>
              <w:rPr>
                <w:rFonts w:eastAsia="Times New Roman"/>
              </w:rPr>
              <w:t>ance, Estates, Cross College and Human Resources. The College’s committees, at each meeting, reviewed the risk registers appropriate to their respective terms of reference and the Corporation reviewed the Highest Operational Risks. Risk was measured by con</w:t>
            </w:r>
            <w:r>
              <w:rPr>
                <w:rFonts w:eastAsia="Times New Roman"/>
              </w:rPr>
              <w:t>sidering both</w:t>
            </w:r>
            <w:r>
              <w:rPr>
                <w:rStyle w:val="Strong"/>
                <w:rFonts w:eastAsia="Times New Roman"/>
              </w:rPr>
              <w:t xml:space="preserve"> likelihood</w:t>
            </w:r>
            <w:r>
              <w:rPr>
                <w:rFonts w:eastAsia="Times New Roman"/>
              </w:rPr>
              <w:t xml:space="preserve"> and </w:t>
            </w:r>
            <w:r>
              <w:rPr>
                <w:rStyle w:val="Strong"/>
                <w:rFonts w:eastAsia="Times New Roman"/>
              </w:rPr>
              <w:t xml:space="preserve">effect </w:t>
            </w:r>
            <w:r>
              <w:rPr>
                <w:rFonts w:eastAsia="Times New Roman"/>
              </w:rPr>
              <w:t>using a scale of 1 to 5. </w:t>
            </w:r>
          </w:p>
          <w:p w:rsidR="00000000" w:rsidRDefault="002A6CE4">
            <w:pPr>
              <w:rPr>
                <w:rFonts w:eastAsia="Times New Roman"/>
              </w:rPr>
            </w:pPr>
            <w:r>
              <w:rPr>
                <w:rFonts w:eastAsia="Times New Roman"/>
              </w:rPr>
              <w:t> </w:t>
            </w:r>
            <w:r>
              <w:rPr>
                <w:rFonts w:eastAsia="Times New Roman"/>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5E42D5" w:rsidRDefault="002A6CE4">
                  <w:pPr>
                    <w:pStyle w:val="NormalWeb"/>
                    <w:framePr w:hSpace="45" w:wrap="around" w:vAnchor="text" w:hAnchor="text"/>
                  </w:pPr>
                  <w:r>
                    <w:rPr>
                      <w:rStyle w:val="Strong"/>
                    </w:rPr>
                    <w:t>Risk Heat Map</w:t>
                  </w:r>
                  <w:r>
                    <w:t> - a tool used to present the results of a risk assessment process visually, and in a meaningful and concise way, by using colours to draw attention to those risks that have the h</w:t>
                  </w:r>
                  <w:r>
                    <w:t>ighest residual risk score. The residual risk score is calculated as the multiplication of the residual risk assessment for Likelihood and Effect. All proposals were agreed and reports</w:t>
                  </w:r>
                  <w:r>
                    <w:br w:type="page"/>
                    <w:t>would be presented to Corporation at its meeting in December 2020.</w:t>
                  </w:r>
                  <w:r>
                    <w:br w:type="page"/>
                  </w:r>
                  <w:r>
                    <w:br w:type="page"/>
                  </w:r>
                </w:p>
                <w:p w:rsidR="00000000" w:rsidRDefault="002A6CE4">
                  <w:pPr>
                    <w:pStyle w:val="NormalWeb"/>
                    <w:framePr w:hSpace="45" w:wrap="around" w:vAnchor="text" w:hAnchor="text"/>
                  </w:pPr>
                  <w:r>
                    <w:t>The</w:t>
                  </w:r>
                  <w:r>
                    <w:t xml:space="preserve"> Deputy Principal, Finance and Corporate Services, intended, when time permitted, to reconfigure the register in line with the new Strategic Plan.</w:t>
                  </w:r>
                </w:p>
                <w:p w:rsidR="005E42D5" w:rsidRDefault="005E42D5">
                  <w:pPr>
                    <w:pStyle w:val="NormalWeb"/>
                    <w:framePr w:hSpace="45" w:wrap="around" w:vAnchor="text" w:hAnchor="text"/>
                  </w:pPr>
                </w:p>
              </w:tc>
            </w:tr>
          </w:tbl>
          <w:p w:rsidR="005E42D5" w:rsidRDefault="002A6CE4">
            <w:pPr>
              <w:rPr>
                <w:rStyle w:val="Strong"/>
                <w:rFonts w:eastAsia="Times New Roman"/>
              </w:rPr>
            </w:pPr>
            <w:r>
              <w:rPr>
                <w:rStyle w:val="Strong"/>
                <w:rFonts w:eastAsia="Times New Roman"/>
              </w:rPr>
              <w:t>Resolved:</w:t>
            </w:r>
          </w:p>
          <w:p w:rsidR="005E42D5" w:rsidRDefault="005E42D5">
            <w:pPr>
              <w:rPr>
                <w:rStyle w:val="Strong"/>
                <w:rFonts w:eastAsia="Times New Roman"/>
              </w:rPr>
            </w:pPr>
          </w:p>
          <w:p w:rsidR="005E42D5" w:rsidRDefault="002A6CE4">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1.   That the College Risk Appetite remained fit for purpose </w:t>
            </w:r>
          </w:p>
          <w:p w:rsidR="005E42D5" w:rsidRDefault="005E42D5">
            <w:pPr>
              <w:rPr>
                <w:rStyle w:val="Strong"/>
                <w:rFonts w:eastAsia="Times New Roman"/>
              </w:rPr>
            </w:pPr>
            <w:r>
              <w:rPr>
                <w:rStyle w:val="Strong"/>
                <w:rFonts w:eastAsia="Times New Roman"/>
              </w:rPr>
              <w:t xml:space="preserve">      </w:t>
            </w:r>
            <w:proofErr w:type="gramStart"/>
            <w:r w:rsidR="002A6CE4">
              <w:rPr>
                <w:rStyle w:val="Strong"/>
                <w:rFonts w:eastAsia="Times New Roman"/>
              </w:rPr>
              <w:t>and</w:t>
            </w:r>
            <w:proofErr w:type="gramEnd"/>
            <w:r w:rsidR="002A6CE4">
              <w:rPr>
                <w:rStyle w:val="Strong"/>
                <w:rFonts w:eastAsia="Times New Roman"/>
              </w:rPr>
              <w:t> commended to</w:t>
            </w:r>
            <w:r>
              <w:rPr>
                <w:rStyle w:val="Strong"/>
                <w:rFonts w:eastAsia="Times New Roman"/>
              </w:rPr>
              <w:t xml:space="preserve"> </w:t>
            </w:r>
            <w:r w:rsidR="002A6CE4">
              <w:rPr>
                <w:rStyle w:val="Strong"/>
                <w:rFonts w:eastAsia="Times New Roman"/>
              </w:rPr>
              <w:t>Corp</w:t>
            </w:r>
            <w:r w:rsidR="002A6CE4">
              <w:rPr>
                <w:rStyle w:val="Strong"/>
                <w:rFonts w:eastAsia="Times New Roman"/>
              </w:rPr>
              <w:t>oration for approval.</w:t>
            </w:r>
          </w:p>
          <w:p w:rsidR="005E42D5" w:rsidRDefault="005E42D5">
            <w:pPr>
              <w:rPr>
                <w:rStyle w:val="Strong"/>
                <w:rFonts w:eastAsia="Times New Roman"/>
              </w:rPr>
            </w:pPr>
          </w:p>
          <w:p w:rsidR="005E42D5" w:rsidRDefault="002A6CE4">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2.   That the definitions for the College’s Risk Assessment remain fit </w:t>
            </w:r>
          </w:p>
          <w:p w:rsidR="005E42D5" w:rsidRDefault="005E42D5">
            <w:pPr>
              <w:rPr>
                <w:rStyle w:val="Strong"/>
                <w:rFonts w:eastAsia="Times New Roman"/>
              </w:rPr>
            </w:pPr>
            <w:r>
              <w:rPr>
                <w:rStyle w:val="Strong"/>
                <w:rFonts w:eastAsia="Times New Roman"/>
              </w:rPr>
              <w:t xml:space="preserve">      </w:t>
            </w:r>
            <w:proofErr w:type="gramStart"/>
            <w:r w:rsidR="002A6CE4">
              <w:rPr>
                <w:rStyle w:val="Strong"/>
                <w:rFonts w:eastAsia="Times New Roman"/>
              </w:rPr>
              <w:t>for</w:t>
            </w:r>
            <w:proofErr w:type="gramEnd"/>
            <w:r w:rsidR="002A6CE4">
              <w:rPr>
                <w:rStyle w:val="Strong"/>
                <w:rFonts w:eastAsia="Times New Roman"/>
              </w:rPr>
              <w:t xml:space="preserve"> purpose</w:t>
            </w:r>
            <w:r>
              <w:rPr>
                <w:rStyle w:val="Strong"/>
                <w:rFonts w:eastAsia="Times New Roman"/>
              </w:rPr>
              <w:t xml:space="preserve"> </w:t>
            </w:r>
            <w:r w:rsidR="002A6CE4">
              <w:rPr>
                <w:rStyle w:val="Strong"/>
                <w:rFonts w:eastAsia="Times New Roman"/>
              </w:rPr>
              <w:t>and commended to Corporation for approval.</w:t>
            </w:r>
          </w:p>
          <w:p w:rsidR="005E42D5" w:rsidRDefault="005E42D5">
            <w:pPr>
              <w:rPr>
                <w:rStyle w:val="Strong"/>
                <w:rFonts w:eastAsia="Times New Roman"/>
              </w:rPr>
            </w:pPr>
          </w:p>
          <w:p w:rsidR="005E42D5" w:rsidRDefault="002A6CE4">
            <w:pPr>
              <w:rPr>
                <w:rStyle w:val="Strong"/>
                <w:rFonts w:eastAsia="Times New Roman"/>
              </w:rPr>
            </w:pPr>
            <w:r>
              <w:rPr>
                <w:rFonts w:eastAsia="Times New Roman"/>
                <w:b/>
                <w:bCs/>
              </w:rPr>
              <w:br w:type="page"/>
            </w:r>
            <w:r>
              <w:rPr>
                <w:rFonts w:eastAsia="Times New Roman"/>
                <w:b/>
                <w:bCs/>
              </w:rPr>
              <w:br w:type="page"/>
            </w:r>
            <w:r>
              <w:rPr>
                <w:rStyle w:val="Strong"/>
                <w:rFonts w:eastAsia="Times New Roman"/>
              </w:rPr>
              <w:t xml:space="preserve">3.   Governors noted the use of the risk heat map and the addition of </w:t>
            </w:r>
          </w:p>
          <w:p w:rsidR="005E42D5" w:rsidRDefault="005E42D5">
            <w:pPr>
              <w:rPr>
                <w:rStyle w:val="Strong"/>
                <w:rFonts w:eastAsia="Times New Roman"/>
              </w:rPr>
            </w:pPr>
            <w:r>
              <w:rPr>
                <w:rStyle w:val="Strong"/>
                <w:rFonts w:eastAsia="Times New Roman"/>
              </w:rPr>
              <w:t xml:space="preserve">     </w:t>
            </w:r>
            <w:r w:rsidR="002A6CE4">
              <w:rPr>
                <w:rStyle w:val="Strong"/>
                <w:rFonts w:eastAsia="Times New Roman"/>
              </w:rPr>
              <w:t>the colour</w:t>
            </w:r>
            <w:r w:rsidR="002A6CE4">
              <w:rPr>
                <w:rFonts w:eastAsia="Times New Roman"/>
                <w:b/>
                <w:bCs/>
              </w:rPr>
              <w:br w:type="page"/>
            </w:r>
            <w:r>
              <w:rPr>
                <w:rFonts w:eastAsia="Times New Roman"/>
                <w:b/>
                <w:bCs/>
              </w:rPr>
              <w:t xml:space="preserve"> </w:t>
            </w:r>
            <w:r w:rsidR="002A6CE4">
              <w:rPr>
                <w:rStyle w:val="Strong"/>
                <w:rFonts w:eastAsia="Times New Roman"/>
              </w:rPr>
              <w:t>coding to su</w:t>
            </w:r>
            <w:r w:rsidR="002A6CE4">
              <w:rPr>
                <w:rStyle w:val="Strong"/>
                <w:rFonts w:eastAsia="Times New Roman"/>
              </w:rPr>
              <w:t>pport review and maintenance of</w:t>
            </w:r>
            <w:r>
              <w:rPr>
                <w:rStyle w:val="Strong"/>
                <w:rFonts w:eastAsia="Times New Roman"/>
              </w:rPr>
              <w:t xml:space="preserve"> </w:t>
            </w:r>
            <w:r w:rsidR="002A6CE4">
              <w:rPr>
                <w:rStyle w:val="Strong"/>
                <w:rFonts w:eastAsia="Times New Roman"/>
              </w:rPr>
              <w:t xml:space="preserve">the risk </w:t>
            </w:r>
          </w:p>
          <w:p w:rsidR="005E42D5" w:rsidRDefault="005E42D5">
            <w:pPr>
              <w:rPr>
                <w:rFonts w:eastAsia="Times New Roman"/>
                <w:b/>
                <w:bCs/>
              </w:rPr>
            </w:pPr>
            <w:r>
              <w:rPr>
                <w:rStyle w:val="Strong"/>
                <w:rFonts w:eastAsia="Times New Roman"/>
              </w:rPr>
              <w:t xml:space="preserve">     </w:t>
            </w:r>
            <w:proofErr w:type="gramStart"/>
            <w:r w:rsidR="002A6CE4">
              <w:rPr>
                <w:rStyle w:val="Strong"/>
                <w:rFonts w:eastAsia="Times New Roman"/>
              </w:rPr>
              <w:t>register</w:t>
            </w:r>
            <w:proofErr w:type="gramEnd"/>
            <w:r w:rsidR="002A6CE4">
              <w:rPr>
                <w:rStyle w:val="Strong"/>
                <w:rFonts w:eastAsia="Times New Roman"/>
              </w:rPr>
              <w:t>.</w:t>
            </w:r>
            <w:r w:rsidR="002A6CE4">
              <w:rPr>
                <w:rFonts w:eastAsia="Times New Roman"/>
                <w:b/>
                <w:bCs/>
              </w:rPr>
              <w:br w:type="page"/>
            </w:r>
            <w:r w:rsidR="002A6CE4">
              <w:rPr>
                <w:rFonts w:eastAsia="Times New Roman"/>
                <w:b/>
                <w:bCs/>
              </w:rPr>
              <w:br w:type="page"/>
            </w:r>
          </w:p>
          <w:p w:rsidR="005E42D5" w:rsidRDefault="005E42D5">
            <w:pPr>
              <w:rPr>
                <w:rFonts w:eastAsia="Times New Roman"/>
                <w:b/>
                <w:bCs/>
              </w:rPr>
            </w:pPr>
          </w:p>
          <w:p w:rsidR="005E42D5" w:rsidRDefault="002A6CE4" w:rsidP="005E42D5">
            <w:pPr>
              <w:rPr>
                <w:rStyle w:val="Strong"/>
                <w:rFonts w:eastAsia="Times New Roman"/>
              </w:rPr>
            </w:pPr>
            <w:r>
              <w:rPr>
                <w:rStyle w:val="Strong"/>
                <w:rFonts w:eastAsia="Times New Roman"/>
              </w:rPr>
              <w:t>4.   That the full College Risk Register be commended to Corporation</w:t>
            </w:r>
            <w:r w:rsidR="005E42D5">
              <w:rPr>
                <w:rStyle w:val="Strong"/>
                <w:rFonts w:eastAsia="Times New Roman"/>
              </w:rPr>
              <w:t xml:space="preserve">       </w:t>
            </w:r>
          </w:p>
          <w:p w:rsidR="00000000" w:rsidRDefault="005E42D5" w:rsidP="005E42D5">
            <w:pPr>
              <w:rPr>
                <w:rFonts w:eastAsia="Times New Roman"/>
              </w:rPr>
            </w:pPr>
            <w:r>
              <w:rPr>
                <w:rStyle w:val="Strong"/>
                <w:rFonts w:eastAsia="Times New Roman"/>
              </w:rPr>
              <w:t xml:space="preserve">      </w:t>
            </w:r>
            <w:proofErr w:type="gramStart"/>
            <w:r w:rsidR="002A6CE4">
              <w:rPr>
                <w:rStyle w:val="Strong"/>
                <w:rFonts w:eastAsia="Times New Roman"/>
              </w:rPr>
              <w:t>for</w:t>
            </w:r>
            <w:proofErr w:type="gramEnd"/>
            <w:r w:rsidR="002A6CE4">
              <w:rPr>
                <w:rFonts w:eastAsia="Times New Roman"/>
                <w:b/>
                <w:bCs/>
              </w:rPr>
              <w:br w:type="page"/>
            </w:r>
            <w:r>
              <w:rPr>
                <w:rStyle w:val="Strong"/>
                <w:rFonts w:eastAsia="Times New Roman"/>
              </w:rPr>
              <w:t> </w:t>
            </w:r>
            <w:r w:rsidR="002A6CE4">
              <w:rPr>
                <w:rStyle w:val="Strong"/>
                <w:rFonts w:eastAsia="Times New Roman"/>
              </w:rPr>
              <w:t>approval.</w:t>
            </w:r>
            <w:r w:rsidR="002A6CE4">
              <w:rPr>
                <w:rFonts w:eastAsia="Times New Roman"/>
                <w:b/>
                <w:bCs/>
              </w:rPr>
              <w:br w:type="page"/>
            </w:r>
            <w:r w:rsidR="002A6CE4">
              <w:rPr>
                <w:rFonts w:eastAsia="Times New Roman"/>
              </w:rPr>
              <w:br w:type="page"/>
            </w:r>
            <w:r w:rsidR="002A6CE4">
              <w:rPr>
                <w:rFonts w:eastAsia="Times New Roman"/>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2A6CE4">
            <w:pPr>
              <w:rPr>
                <w:rFonts w:eastAsia="Times New Roman"/>
              </w:rPr>
            </w:pPr>
            <w:r>
              <w:rPr>
                <w:rFonts w:eastAsia="Times New Roman"/>
                <w:b/>
                <w:bCs/>
              </w:rPr>
              <w:t>42.20</w:t>
            </w:r>
          </w:p>
        </w:tc>
        <w:tc>
          <w:tcPr>
            <w:tcW w:w="4000" w:type="pct"/>
            <w:hideMark/>
          </w:tcPr>
          <w:p w:rsidR="00000000" w:rsidRDefault="002A6CE4">
            <w:pPr>
              <w:rPr>
                <w:rFonts w:eastAsia="Times New Roman"/>
              </w:rPr>
            </w:pPr>
            <w:r>
              <w:rPr>
                <w:rFonts w:eastAsia="Times New Roman"/>
                <w:b/>
                <w:bCs/>
                <w:i/>
                <w:iCs/>
              </w:rPr>
              <w:t>ESFA Subcontracting Control Report</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5E42D5" w:rsidRDefault="002A6CE4">
                  <w:pPr>
                    <w:pStyle w:val="NormalWeb"/>
                    <w:framePr w:hSpace="45" w:wrap="around" w:vAnchor="text" w:hAnchor="text"/>
                  </w:pPr>
                  <w:r>
                    <w:t>The ESFA requires providers who subcontract </w:t>
                  </w:r>
                  <w:r>
                    <w:t xml:space="preserve">a defined level of provision to obtain a report from an external auditor on the arrangements in place to manage and control their subcontractors. Myerscough falls into this category. </w:t>
                  </w:r>
                  <w:r>
                    <w:br w:type="page"/>
                  </w:r>
                  <w:r>
                    <w:br w:type="page"/>
                  </w:r>
                </w:p>
                <w:p w:rsidR="005E42D5" w:rsidRDefault="002A6CE4" w:rsidP="005E42D5">
                  <w:pPr>
                    <w:pStyle w:val="NormalWeb"/>
                    <w:framePr w:hSpace="45" w:wrap="around" w:vAnchor="text" w:hAnchor="text"/>
                    <w:spacing w:before="0" w:beforeAutospacing="0" w:after="0" w:afterAutospacing="0"/>
                  </w:pPr>
                  <w:r>
                    <w:t>Following the resignation of RSM, the previous Internal Auditors, a ten</w:t>
                  </w:r>
                  <w:r>
                    <w:t xml:space="preserve">der was sought specifically for this work. </w:t>
                  </w:r>
                  <w:proofErr w:type="spellStart"/>
                  <w:r>
                    <w:t>Tiaa</w:t>
                  </w:r>
                  <w:proofErr w:type="spellEnd"/>
                  <w:r>
                    <w:t xml:space="preserve"> won this tender and undertook the audit to provide the necessary report and external assurance.</w:t>
                  </w:r>
                </w:p>
                <w:p w:rsidR="005E42D5" w:rsidRDefault="005E42D5" w:rsidP="005E42D5">
                  <w:pPr>
                    <w:pStyle w:val="NormalWeb"/>
                    <w:framePr w:hSpace="45" w:wrap="around" w:vAnchor="text" w:hAnchor="text"/>
                    <w:spacing w:before="0" w:beforeAutospacing="0" w:after="0" w:afterAutospacing="0"/>
                  </w:pPr>
                </w:p>
              </w:tc>
            </w:tr>
          </w:tbl>
          <w:p w:rsidR="005E42D5" w:rsidRDefault="002A6CE4">
            <w:pPr>
              <w:rPr>
                <w:rFonts w:eastAsia="Times New Roman"/>
              </w:rPr>
            </w:pPr>
            <w:r>
              <w:rPr>
                <w:rFonts w:eastAsia="Times New Roman"/>
              </w:rPr>
              <w:t>One level 2 recommendation was made relating to an incorrect figure in the original submission of documentation</w:t>
            </w:r>
            <w:r>
              <w:rPr>
                <w:rFonts w:eastAsia="Times New Roman"/>
              </w:rPr>
              <w:t xml:space="preserve"> to the ESFA. This was later resubmitted with the correct figure and action taken to ensure a similar mistake does not happen in the future.</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Fonts w:eastAsia="Times New Roman"/>
              </w:rPr>
              <w:t>Governors sought assurance that this mistake would not impact on future provision of subcontracting and was assure</w:t>
            </w:r>
            <w:r>
              <w:rPr>
                <w:rFonts w:eastAsia="Times New Roman"/>
              </w:rPr>
              <w:t>d that it would not.</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Fonts w:eastAsia="Times New Roman"/>
              </w:rPr>
              <w:t>The certificate of compliance was also attached to the agenda.</w:t>
            </w:r>
            <w:r>
              <w:rPr>
                <w:rFonts w:eastAsia="Times New Roman"/>
              </w:rPr>
              <w:br w:type="page"/>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Style w:val="Strong"/>
                <w:rFonts w:eastAsia="Times New Roman"/>
              </w:rPr>
              <w:t>Resolved:</w:t>
            </w:r>
            <w:r>
              <w:rPr>
                <w:rFonts w:eastAsia="Times New Roman"/>
              </w:rPr>
              <w:br w:type="page"/>
            </w:r>
            <w:r>
              <w:rPr>
                <w:rFonts w:eastAsia="Times New Roman"/>
              </w:rPr>
              <w:br w:type="page"/>
            </w:r>
          </w:p>
          <w:p w:rsidR="005E42D5" w:rsidRDefault="005E42D5">
            <w:pPr>
              <w:rPr>
                <w:rFonts w:eastAsia="Times New Roman"/>
              </w:rPr>
            </w:pPr>
          </w:p>
          <w:p w:rsidR="00000000" w:rsidRDefault="002A6CE4">
            <w:pPr>
              <w:rPr>
                <w:rFonts w:eastAsia="Times New Roman"/>
              </w:rPr>
            </w:pPr>
            <w:r>
              <w:rPr>
                <w:rStyle w:val="Strong"/>
                <w:rFonts w:eastAsia="Times New Roman"/>
              </w:rPr>
              <w:t>That the ESFA Subcontracting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43.20</w:t>
            </w:r>
          </w:p>
        </w:tc>
        <w:tc>
          <w:tcPr>
            <w:tcW w:w="4000" w:type="pct"/>
            <w:hideMark/>
          </w:tcPr>
          <w:p w:rsidR="00000000" w:rsidRDefault="002A6CE4">
            <w:pPr>
              <w:rPr>
                <w:rFonts w:eastAsia="Times New Roman"/>
              </w:rPr>
            </w:pPr>
            <w:r>
              <w:rPr>
                <w:rFonts w:eastAsia="Times New Roman"/>
                <w:b/>
                <w:bCs/>
                <w:i/>
                <w:iCs/>
              </w:rPr>
              <w:t>Data Returns Report</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p w:rsidR="005E42D5" w:rsidRDefault="002A6CE4">
            <w:pPr>
              <w:rPr>
                <w:rFonts w:eastAsia="Times New Roman"/>
              </w:rPr>
            </w:pPr>
            <w:r>
              <w:rPr>
                <w:rFonts w:eastAsia="Times New Roman"/>
              </w:rPr>
              <w:t>Audit and Governance Committee considered the report, which listed</w:t>
            </w:r>
            <w:r>
              <w:rPr>
                <w:rFonts w:eastAsia="Times New Roman"/>
              </w:rPr>
              <w:t xml:space="preserve"> the completion and timing of statutory returns required by the relevant funding bodies for the year end 2019/2020 and the completed returns for the current year 2020/2021.</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Fonts w:eastAsia="Times New Roman"/>
              </w:rPr>
              <w:t>All returns had been submitted on time.</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Style w:val="Strong"/>
                <w:rFonts w:eastAsia="Times New Roman"/>
              </w:rPr>
              <w:t>Resolved:</w:t>
            </w:r>
            <w:r>
              <w:rPr>
                <w:rFonts w:eastAsia="Times New Roman"/>
              </w:rPr>
              <w:br w:type="page"/>
            </w:r>
            <w:r>
              <w:rPr>
                <w:rFonts w:eastAsia="Times New Roman"/>
              </w:rPr>
              <w:br w:type="page"/>
            </w:r>
          </w:p>
          <w:p w:rsidR="005E42D5" w:rsidRDefault="005E42D5">
            <w:pPr>
              <w:rPr>
                <w:rFonts w:eastAsia="Times New Roman"/>
              </w:rPr>
            </w:pPr>
          </w:p>
          <w:p w:rsidR="00000000" w:rsidRDefault="002A6CE4">
            <w:pPr>
              <w:rPr>
                <w:rFonts w:eastAsia="Times New Roman"/>
              </w:rPr>
            </w:pPr>
            <w:r>
              <w:rPr>
                <w:rStyle w:val="Strong"/>
                <w:rFonts w:eastAsia="Times New Roman"/>
              </w:rPr>
              <w:t>That the Data Returns Report b</w:t>
            </w:r>
            <w:r>
              <w:rPr>
                <w:rStyle w:val="Strong"/>
                <w:rFonts w:eastAsia="Times New Roman"/>
              </w:rPr>
              <w:t>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44.20</w:t>
            </w:r>
          </w:p>
        </w:tc>
        <w:tc>
          <w:tcPr>
            <w:tcW w:w="4000" w:type="pct"/>
            <w:hideMark/>
          </w:tcPr>
          <w:p w:rsidR="00000000" w:rsidRDefault="002A6CE4">
            <w:pPr>
              <w:rPr>
                <w:rFonts w:eastAsia="Times New Roman"/>
              </w:rPr>
            </w:pPr>
            <w:proofErr w:type="spellStart"/>
            <w:r>
              <w:rPr>
                <w:rFonts w:eastAsia="Times New Roman"/>
                <w:b/>
                <w:bCs/>
                <w:i/>
                <w:iCs/>
              </w:rPr>
              <w:t>Teachers</w:t>
            </w:r>
            <w:proofErr w:type="spellEnd"/>
            <w:r>
              <w:rPr>
                <w:rFonts w:eastAsia="Times New Roman"/>
                <w:b/>
                <w:bCs/>
                <w:i/>
                <w:iCs/>
              </w:rPr>
              <w:t xml:space="preserve"> Pension Report</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p w:rsidR="005E42D5" w:rsidRDefault="002A6CE4">
            <w:pPr>
              <w:rPr>
                <w:rFonts w:eastAsia="Times New Roman"/>
              </w:rPr>
            </w:pPr>
            <w:r>
              <w:rPr>
                <w:rFonts w:eastAsia="Times New Roman"/>
              </w:rPr>
              <w:t>Audit &amp; Governance Committee received the Teachers' Pension Report.</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Fonts w:eastAsia="Times New Roman"/>
              </w:rPr>
              <w:t xml:space="preserve">The Committee noted that RSM had provided an independent reasonable assurance report in connection with the Teachers’ </w:t>
            </w:r>
            <w:r>
              <w:rPr>
                <w:rFonts w:eastAsia="Times New Roman"/>
              </w:rPr>
              <w:t>Pensions Contributions for the year ended 31 March 2020, which had been submitted to the ESFA in accordance with their time frame</w:t>
            </w:r>
            <w:r>
              <w:rPr>
                <w:rFonts w:eastAsia="Times New Roman"/>
              </w:rPr>
              <w:t>.</w:t>
            </w:r>
          </w:p>
          <w:p w:rsidR="005E42D5" w:rsidRDefault="005E42D5">
            <w:pPr>
              <w:rPr>
                <w:rFonts w:eastAsia="Times New Roman"/>
              </w:rPr>
            </w:pPr>
          </w:p>
          <w:p w:rsidR="005E42D5" w:rsidRDefault="002A6CE4">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5E42D5" w:rsidRDefault="005E42D5">
            <w:pPr>
              <w:rPr>
                <w:rFonts w:eastAsia="Times New Roman"/>
              </w:rPr>
            </w:pPr>
          </w:p>
          <w:p w:rsidR="00000000" w:rsidRDefault="002A6CE4">
            <w:pPr>
              <w:rPr>
                <w:rFonts w:eastAsia="Times New Roman"/>
              </w:rPr>
            </w:pPr>
            <w:r>
              <w:rPr>
                <w:rStyle w:val="Strong"/>
                <w:rFonts w:eastAsia="Times New Roman"/>
              </w:rPr>
              <w:lastRenderedPageBreak/>
              <w:t>That the Teachers' Pension Report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2A6CE4">
            <w:pPr>
              <w:rPr>
                <w:rFonts w:eastAsia="Times New Roman"/>
              </w:rPr>
            </w:pPr>
            <w:r>
              <w:rPr>
                <w:rFonts w:eastAsia="Times New Roman"/>
                <w:b/>
                <w:bCs/>
              </w:rPr>
              <w:t>45.20</w:t>
            </w:r>
          </w:p>
        </w:tc>
        <w:tc>
          <w:tcPr>
            <w:tcW w:w="4000" w:type="pct"/>
            <w:hideMark/>
          </w:tcPr>
          <w:p w:rsidR="00000000" w:rsidRDefault="002A6CE4">
            <w:pPr>
              <w:rPr>
                <w:rFonts w:eastAsia="Times New Roman"/>
              </w:rPr>
            </w:pPr>
            <w:r>
              <w:rPr>
                <w:rFonts w:eastAsia="Times New Roman"/>
                <w:b/>
                <w:bCs/>
                <w:i/>
                <w:iCs/>
              </w:rPr>
              <w:t>Governance Quality Improvement Plan 2020/2021</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2A6CE4">
                  <w:pPr>
                    <w:pStyle w:val="NormalWeb"/>
                    <w:framePr w:hSpace="45" w:wrap="around" w:vAnchor="text" w:hAnchor="text"/>
                  </w:pPr>
                  <w:r>
                    <w:t>Governance received a Grade 2 'Good' following validation of its self-assessment report. The Clerk had drawn up a Governance Quality Improvement Plan for 2020/2021. Members noted that in the coming year attention would be given to:</w:t>
                  </w:r>
                </w:p>
                <w:p w:rsidR="00000000" w:rsidRDefault="002A6CE4">
                  <w:pPr>
                    <w:framePr w:hSpace="45" w:wrap="around" w:vAnchor="text" w:hAnchor="text"/>
                    <w:numPr>
                      <w:ilvl w:val="0"/>
                      <w:numId w:val="1"/>
                    </w:numPr>
                    <w:spacing w:before="100" w:beforeAutospacing="1" w:after="100" w:afterAutospacing="1"/>
                    <w:rPr>
                      <w:rFonts w:eastAsia="Times New Roman"/>
                    </w:rPr>
                  </w:pPr>
                  <w:r>
                    <w:rPr>
                      <w:rFonts w:eastAsia="Times New Roman"/>
                    </w:rPr>
                    <w:t>Lack of diversity on the</w:t>
                  </w:r>
                  <w:r>
                    <w:rPr>
                      <w:rFonts w:eastAsia="Times New Roman"/>
                    </w:rPr>
                    <w:t xml:space="preserve"> Board</w:t>
                  </w:r>
                </w:p>
                <w:p w:rsidR="00000000" w:rsidRDefault="002A6CE4">
                  <w:pPr>
                    <w:framePr w:hSpace="45" w:wrap="around" w:vAnchor="text" w:hAnchor="text"/>
                    <w:numPr>
                      <w:ilvl w:val="0"/>
                      <w:numId w:val="1"/>
                    </w:numPr>
                    <w:spacing w:before="100" w:beforeAutospacing="1" w:after="100" w:afterAutospacing="1"/>
                    <w:rPr>
                      <w:rFonts w:eastAsia="Times New Roman"/>
                    </w:rPr>
                  </w:pPr>
                  <w:r>
                    <w:rPr>
                      <w:rFonts w:eastAsia="Times New Roman"/>
                    </w:rPr>
                    <w:t>Difficulty in appointing Student Governors to the Board</w:t>
                  </w:r>
                </w:p>
                <w:p w:rsidR="00000000" w:rsidRDefault="002A6CE4">
                  <w:pPr>
                    <w:framePr w:hSpace="45" w:wrap="around" w:vAnchor="text" w:hAnchor="text"/>
                    <w:numPr>
                      <w:ilvl w:val="0"/>
                      <w:numId w:val="1"/>
                    </w:numPr>
                    <w:spacing w:before="100" w:beforeAutospacing="1" w:after="100" w:afterAutospacing="1"/>
                    <w:rPr>
                      <w:rFonts w:eastAsia="Times New Roman"/>
                    </w:rPr>
                  </w:pPr>
                  <w:r>
                    <w:rPr>
                      <w:rFonts w:eastAsia="Times New Roman"/>
                    </w:rPr>
                    <w:t>The need for a Training Needs Analysis with Governors</w:t>
                  </w:r>
                </w:p>
                <w:p w:rsidR="00000000" w:rsidRDefault="002A6CE4">
                  <w:pPr>
                    <w:framePr w:hSpace="45" w:wrap="around" w:vAnchor="text" w:hAnchor="text"/>
                    <w:numPr>
                      <w:ilvl w:val="0"/>
                      <w:numId w:val="1"/>
                    </w:numPr>
                    <w:spacing w:before="100" w:beforeAutospacing="1" w:after="100" w:afterAutospacing="1"/>
                    <w:rPr>
                      <w:rFonts w:eastAsia="Times New Roman"/>
                    </w:rPr>
                  </w:pPr>
                  <w:r>
                    <w:rPr>
                      <w:rFonts w:eastAsia="Times New Roman"/>
                    </w:rPr>
                    <w:t>The need to undertake a Skills Audit with Governors</w:t>
                  </w:r>
                </w:p>
                <w:p w:rsidR="005E42D5" w:rsidRDefault="002A6CE4" w:rsidP="005E42D5">
                  <w:pPr>
                    <w:framePr w:hSpace="45" w:wrap="around" w:vAnchor="text" w:hAnchor="text"/>
                    <w:numPr>
                      <w:ilvl w:val="0"/>
                      <w:numId w:val="1"/>
                    </w:numPr>
                    <w:spacing w:before="100" w:beforeAutospacing="1" w:after="100" w:afterAutospacing="1"/>
                    <w:rPr>
                      <w:rFonts w:eastAsia="Times New Roman"/>
                    </w:rPr>
                  </w:pPr>
                  <w:r>
                    <w:rPr>
                      <w:rFonts w:eastAsia="Times New Roman"/>
                    </w:rPr>
                    <w:t>Reintroduce, expand and explain the Governors Engagement Programme </w:t>
                  </w:r>
                </w:p>
                <w:p w:rsidR="005E42D5" w:rsidRDefault="002A6CE4" w:rsidP="005E42D5">
                  <w:pPr>
                    <w:framePr w:hSpace="45" w:wrap="around" w:vAnchor="text" w:hAnchor="text"/>
                    <w:rPr>
                      <w:rStyle w:val="Strong"/>
                    </w:rPr>
                  </w:pPr>
                  <w:r>
                    <w:rPr>
                      <w:rStyle w:val="Strong"/>
                    </w:rPr>
                    <w:t>Resolved:</w:t>
                  </w:r>
                  <w:r w:rsidR="005E42D5">
                    <w:rPr>
                      <w:rStyle w:val="Strong"/>
                    </w:rPr>
                    <w:t xml:space="preserve"> </w:t>
                  </w:r>
                </w:p>
                <w:p w:rsidR="005E42D5" w:rsidRDefault="005E42D5" w:rsidP="005E42D5">
                  <w:pPr>
                    <w:framePr w:hSpace="45" w:wrap="around" w:vAnchor="text" w:hAnchor="text"/>
                  </w:pPr>
                </w:p>
              </w:tc>
            </w:tr>
          </w:tbl>
          <w:p w:rsidR="00000000" w:rsidRDefault="002A6CE4">
            <w:pPr>
              <w:rPr>
                <w:rFonts w:eastAsia="Times New Roman"/>
              </w:rPr>
            </w:pPr>
            <w:r>
              <w:rPr>
                <w:rStyle w:val="Strong"/>
                <w:rFonts w:eastAsia="Times New Roman"/>
              </w:rPr>
              <w:t>That the</w:t>
            </w:r>
            <w:r>
              <w:rPr>
                <w:rStyle w:val="Strong"/>
                <w:rFonts w:eastAsia="Times New Roman"/>
              </w:rPr>
              <w:t> Governance Quality Improvement Plan 2020/2021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t> </w:t>
            </w:r>
          </w:p>
        </w:tc>
      </w:tr>
      <w:tr w:rsidR="00000000">
        <w:trPr>
          <w:tblCellSpacing w:w="15" w:type="dxa"/>
        </w:trPr>
        <w:tc>
          <w:tcPr>
            <w:tcW w:w="1000" w:type="pct"/>
            <w:hideMark/>
          </w:tcPr>
          <w:p w:rsidR="00000000" w:rsidRDefault="002A6CE4">
            <w:pPr>
              <w:rPr>
                <w:rFonts w:eastAsia="Times New Roman"/>
              </w:rPr>
            </w:pPr>
            <w:r>
              <w:rPr>
                <w:rFonts w:eastAsia="Times New Roman"/>
                <w:b/>
                <w:bCs/>
              </w:rPr>
              <w:t>46.20</w:t>
            </w:r>
          </w:p>
        </w:tc>
        <w:tc>
          <w:tcPr>
            <w:tcW w:w="4000" w:type="pct"/>
            <w:hideMark/>
          </w:tcPr>
          <w:p w:rsidR="00000000" w:rsidRDefault="002A6CE4">
            <w:pPr>
              <w:rPr>
                <w:rFonts w:eastAsia="Times New Roman"/>
              </w:rPr>
            </w:pPr>
            <w:r>
              <w:rPr>
                <w:rFonts w:eastAsia="Times New Roman"/>
                <w:b/>
                <w:bCs/>
                <w:i/>
                <w:iCs/>
              </w:rPr>
              <w:t>Annual Review of the Decision-Making Process of Corporation</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000000">
              <w:trPr>
                <w:tblCellSpacing w:w="15" w:type="dxa"/>
              </w:trPr>
              <w:tc>
                <w:tcPr>
                  <w:tcW w:w="0" w:type="auto"/>
                  <w:vAlign w:val="center"/>
                  <w:hideMark/>
                </w:tcPr>
                <w:p w:rsidR="00000000" w:rsidRDefault="002A6CE4">
                  <w:pPr>
                    <w:pStyle w:val="NormalWeb"/>
                    <w:framePr w:hSpace="45" w:wrap="around" w:vAnchor="text" w:hAnchor="text"/>
                  </w:pPr>
                  <w:r>
                    <w:t>The Provider Financial Assurance (PFA) review of the effectiveness of financial management and governance at Myer</w:t>
                  </w:r>
                  <w:r>
                    <w:t>scough, undertaken in January 2003, recommended that the Corporation carry out a full review of its decision-making processes annually. This requirement arises from the press release issued by Baroness Blackstone in April 1999, which stated that each colle</w:t>
                  </w:r>
                  <w:r>
                    <w:t>ge must review annually its decision-making process and such reviews must be recorded in the Corporation minutes.</w:t>
                  </w:r>
                </w:p>
                <w:p w:rsidR="00000000" w:rsidRDefault="002A6CE4">
                  <w:pPr>
                    <w:pStyle w:val="NormalWeb"/>
                    <w:framePr w:hSpace="45" w:wrap="around" w:vAnchor="text" w:hAnchor="text"/>
                  </w:pPr>
                  <w:r>
                    <w:t>Audit &amp; Governance Committee was therefore asked to consider the following items, which made up part of the overall decision-making process an</w:t>
                  </w:r>
                  <w:r>
                    <w:t>d recommend for approval.</w:t>
                  </w:r>
                </w:p>
                <w:p w:rsidR="00000000" w:rsidRDefault="002A6CE4">
                  <w:pPr>
                    <w:pStyle w:val="NormalWeb"/>
                    <w:framePr w:hSpace="45" w:wrap="around" w:vAnchor="text" w:hAnchor="text"/>
                  </w:pPr>
                  <w:r>
                    <w:rPr>
                      <w:rStyle w:val="Strong"/>
                    </w:rPr>
                    <w:t>Corporation Structure, Standing Orders and Code of Conduct for Governors.</w:t>
                  </w:r>
                </w:p>
                <w:p w:rsidR="005E42D5" w:rsidRDefault="002A6CE4">
                  <w:pPr>
                    <w:pStyle w:val="NormalWeb"/>
                    <w:framePr w:hSpace="45" w:wrap="around" w:vAnchor="text" w:hAnchor="text"/>
                  </w:pPr>
                  <w:r>
                    <w:t>The Instrument and Articles of Government were updated following the March Corporation meeting. They are usually considered under this item but following th</w:t>
                  </w:r>
                  <w:r>
                    <w:t xml:space="preserve">eir update, are not currently accessible due to the recent cyber-attack. They have therefore not been included on this occasion.   </w:t>
                  </w:r>
                </w:p>
                <w:p w:rsidR="00000000" w:rsidRDefault="002A6CE4">
                  <w:pPr>
                    <w:pStyle w:val="NormalWeb"/>
                    <w:framePr w:hSpace="45" w:wrap="around" w:vAnchor="text" w:hAnchor="text"/>
                  </w:pPr>
                  <w:r>
                    <w:br w:type="page"/>
                  </w:r>
                  <w:r>
                    <w:br w:type="page"/>
                    <w:t>During this cycle of meetings all Committees are asked to consider their Terms of Reference to ensure they remain fit for p</w:t>
                  </w:r>
                  <w:r>
                    <w:t>urpose. The Terms of Reference for the Audit and Governance Committee will be considered in January as part of the Annual Report to Corporation. </w:t>
                  </w:r>
                </w:p>
              </w:tc>
            </w:tr>
          </w:tbl>
          <w:p w:rsidR="005E42D5" w:rsidRDefault="002A6CE4">
            <w:pPr>
              <w:rPr>
                <w:rStyle w:val="Strong"/>
                <w:rFonts w:eastAsia="Times New Roman"/>
              </w:rPr>
            </w:pPr>
            <w:r>
              <w:rPr>
                <w:rStyle w:val="Strong"/>
                <w:rFonts w:eastAsia="Times New Roman"/>
              </w:rPr>
              <w:t>Resolved:</w:t>
            </w:r>
          </w:p>
          <w:p w:rsidR="00000000" w:rsidRDefault="002A6CE4">
            <w:pPr>
              <w:rPr>
                <w:rFonts w:eastAsia="Times New Roman"/>
              </w:rPr>
            </w:pPr>
            <w:r>
              <w:rPr>
                <w:rFonts w:eastAsia="Times New Roman"/>
                <w:b/>
                <w:bCs/>
              </w:rPr>
              <w:lastRenderedPageBreak/>
              <w:br w:type="page"/>
            </w:r>
            <w:r>
              <w:rPr>
                <w:rFonts w:eastAsia="Times New Roman"/>
                <w:b/>
                <w:bCs/>
              </w:rPr>
              <w:br w:type="page"/>
            </w:r>
            <w:r>
              <w:rPr>
                <w:rStyle w:val="Strong"/>
                <w:rFonts w:eastAsia="Times New Roman"/>
              </w:rPr>
              <w:t xml:space="preserve">That the Committee express its satisfaction with the above and agreed that the documents attached </w:t>
            </w:r>
            <w:r>
              <w:rPr>
                <w:rStyle w:val="Strong"/>
                <w:rFonts w:eastAsia="Times New Roman"/>
              </w:rPr>
              <w:t>to the decision-making processes remained fit for purpose.</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2A6CE4">
            <w:pPr>
              <w:rPr>
                <w:rFonts w:eastAsia="Times New Roman"/>
              </w:rPr>
            </w:pPr>
            <w:r>
              <w:rPr>
                <w:rFonts w:eastAsia="Times New Roman"/>
                <w:b/>
                <w:bCs/>
              </w:rPr>
              <w:t>47.20</w:t>
            </w:r>
          </w:p>
        </w:tc>
        <w:tc>
          <w:tcPr>
            <w:tcW w:w="4000" w:type="pct"/>
            <w:hideMark/>
          </w:tcPr>
          <w:p w:rsidR="00000000" w:rsidRDefault="002A6CE4">
            <w:pPr>
              <w:rPr>
                <w:rFonts w:eastAsia="Times New Roman"/>
              </w:rPr>
            </w:pPr>
            <w:r>
              <w:rPr>
                <w:rFonts w:eastAsia="Times New Roman"/>
                <w:b/>
                <w:bCs/>
                <w:i/>
                <w:iCs/>
              </w:rPr>
              <w:t>Governor Training</w:t>
            </w:r>
          </w:p>
        </w:tc>
      </w:tr>
      <w:tr w:rsidR="00000000">
        <w:trPr>
          <w:tblCellSpacing w:w="15" w:type="dxa"/>
        </w:trPr>
        <w:tc>
          <w:tcPr>
            <w:tcW w:w="1000" w:type="pct"/>
            <w:hideMark/>
          </w:tcPr>
          <w:p w:rsidR="00000000" w:rsidRDefault="002A6CE4">
            <w:pPr>
              <w:rPr>
                <w:rFonts w:eastAsia="Times New Roman"/>
              </w:rPr>
            </w:pPr>
            <w:r>
              <w:rPr>
                <w:rFonts w:eastAsia="Times New Roman"/>
                <w:b/>
                <w:bCs/>
                <w:i/>
                <w:iCs/>
              </w:rPr>
              <w:t>Decision</w:t>
            </w:r>
          </w:p>
        </w:tc>
        <w:tc>
          <w:tcPr>
            <w:tcW w:w="4000" w:type="pct"/>
            <w:hideMark/>
          </w:tcPr>
          <w:p w:rsidR="005E42D5" w:rsidRDefault="002A6CE4">
            <w:pPr>
              <w:rPr>
                <w:rFonts w:eastAsia="Times New Roman"/>
              </w:rPr>
            </w:pPr>
            <w:r>
              <w:rPr>
                <w:rFonts w:eastAsia="Times New Roman"/>
              </w:rPr>
              <w:t>The Clerk reported that arrangements had been made to hold a Governor training session on the College Self-Assessment Report on Tuesday 24 November 2020 commencing at 6.00pm. This date was included in the timetable of meetings agreed earlier in the year.</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Fonts w:eastAsia="Times New Roman"/>
              </w:rPr>
              <w:t>In addition it was intended to hold a training session on Safeguarding /Prevent on the evening of 8 December commencing at 6.00pm. Arrangements were also in hand to hold a Governor Briefing on the outcomes of the recent cyber-attack.</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rPr>
            </w:pPr>
            <w:r>
              <w:rPr>
                <w:rFonts w:eastAsia="Times New Roman"/>
              </w:rPr>
              <w:t>Governors would be no</w:t>
            </w:r>
            <w:r>
              <w:rPr>
                <w:rFonts w:eastAsia="Times New Roman"/>
              </w:rPr>
              <w:t>tified of the above in the near future.  </w:t>
            </w:r>
            <w:r>
              <w:rPr>
                <w:rFonts w:eastAsia="Times New Roman"/>
              </w:rPr>
              <w:br w:type="page"/>
            </w:r>
            <w:r>
              <w:rPr>
                <w:rFonts w:eastAsia="Times New Roman"/>
              </w:rPr>
              <w:br w:type="page"/>
            </w:r>
          </w:p>
          <w:p w:rsidR="005E42D5" w:rsidRDefault="005E42D5">
            <w:pPr>
              <w:rPr>
                <w:rFonts w:eastAsia="Times New Roman"/>
              </w:rPr>
            </w:pPr>
          </w:p>
          <w:p w:rsidR="005E42D5" w:rsidRDefault="002A6CE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E42D5" w:rsidRDefault="005E42D5">
            <w:pPr>
              <w:rPr>
                <w:rFonts w:eastAsia="Times New Roman"/>
                <w:b/>
                <w:bCs/>
              </w:rPr>
            </w:pPr>
          </w:p>
          <w:p w:rsidR="00000000" w:rsidRDefault="002A6CE4">
            <w:pPr>
              <w:rPr>
                <w:rFonts w:eastAsia="Times New Roman"/>
              </w:rPr>
            </w:pPr>
            <w:r>
              <w:rPr>
                <w:rStyle w:val="Strong"/>
                <w:rFonts w:eastAsia="Times New Roman"/>
              </w:rPr>
              <w:t>That the Governors training update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2A6CE4">
            <w:pPr>
              <w:rPr>
                <w:rFonts w:eastAsia="Times New Roman"/>
              </w:rPr>
            </w:pPr>
            <w:bookmarkStart w:id="0" w:name="_GoBack"/>
            <w:bookmarkEnd w:id="0"/>
            <w:r>
              <w:rPr>
                <w:rFonts w:eastAsia="Times New Roman"/>
              </w:rPr>
              <w:t> </w:t>
            </w:r>
          </w:p>
        </w:tc>
      </w:tr>
    </w:tbl>
    <w:p w:rsidR="002A6CE4" w:rsidRDefault="002A6CE4">
      <w:pPr>
        <w:pStyle w:val="NormalWeb"/>
        <w:pageBreakBefore/>
        <w:spacing w:before="0" w:beforeAutospacing="0" w:after="0" w:afterAutospacing="0"/>
        <w:rPr>
          <w:vanish/>
        </w:rPr>
      </w:pPr>
    </w:p>
    <w:sectPr w:rsidR="002A6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52737"/>
    <w:multiLevelType w:val="multilevel"/>
    <w:tmpl w:val="6026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3C60"/>
    <w:rsid w:val="002A6CE4"/>
    <w:rsid w:val="00593C60"/>
    <w:rsid w:val="005E4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7DA00-9911-40E8-8B14-B4F790C6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2021-03-22T11:12:00Z</dcterms:created>
  <dcterms:modified xsi:type="dcterms:W3CDTF">2021-03-22T11:12:00Z</dcterms:modified>
</cp:coreProperties>
</file>