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9263"/>
            <w:vAlign w:val="center"/>
            <w:hideMark/>
          </w:tcPr>
          <w:p w:rsidR="00000000" w:rsidRDefault="00012F9E">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9263"/>
            <w:vAlign w:val="center"/>
            <w:hideMark/>
          </w:tcPr>
          <w:p w:rsidR="00000000" w:rsidRDefault="00012F9E">
            <w:pPr>
              <w:rPr>
                <w:rFonts w:eastAsia="Times New Roman"/>
              </w:rPr>
            </w:pPr>
            <w:r>
              <w:rPr>
                <w:rFonts w:eastAsia="Times New Roman"/>
              </w:rPr>
              <w:t> </w:t>
            </w:r>
          </w:p>
        </w:tc>
      </w:tr>
      <w:tr w:rsidR="00000000">
        <w:trPr>
          <w:tblCellSpacing w:w="15" w:type="dxa"/>
        </w:trPr>
        <w:tc>
          <w:tcPr>
            <w:tcW w:w="5000" w:type="pct"/>
            <w:gridSpan w:val="7"/>
            <w:shd w:val="clear" w:color="auto" w:fill="FF9263"/>
            <w:hideMark/>
          </w:tcPr>
          <w:p w:rsidR="00000000" w:rsidRDefault="00012F9E">
            <w:pPr>
              <w:jc w:val="center"/>
              <w:rPr>
                <w:rFonts w:eastAsia="Times New Roman"/>
                <w:color w:val="000000"/>
              </w:rPr>
            </w:pPr>
            <w:r>
              <w:rPr>
                <w:rFonts w:eastAsia="Times New Roman"/>
                <w:i/>
                <w:iCs/>
                <w:color w:val="000000"/>
              </w:rPr>
              <w:t>Finance and Resources Committee No 26</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 w:type="pct"/>
            <w:hideMark/>
          </w:tcPr>
          <w:p w:rsidR="00000000" w:rsidRDefault="00012F9E">
            <w:pPr>
              <w:jc w:val="right"/>
              <w:rPr>
                <w:rFonts w:eastAsia="Times New Roman"/>
              </w:rPr>
            </w:pPr>
            <w:r>
              <w:rPr>
                <w:rFonts w:eastAsia="Times New Roman"/>
              </w:rPr>
              <w:t>Date:</w:t>
            </w:r>
          </w:p>
        </w:tc>
        <w:tc>
          <w:tcPr>
            <w:tcW w:w="50" w:type="pct"/>
            <w:vAlign w:val="center"/>
            <w:hideMark/>
          </w:tcPr>
          <w:p w:rsidR="00000000" w:rsidRDefault="00012F9E">
            <w:pPr>
              <w:rPr>
                <w:rFonts w:eastAsia="Times New Roman"/>
              </w:rPr>
            </w:pPr>
            <w:r>
              <w:rPr>
                <w:rFonts w:eastAsia="Times New Roman"/>
              </w:rPr>
              <w:t> </w:t>
            </w:r>
          </w:p>
        </w:tc>
        <w:tc>
          <w:tcPr>
            <w:tcW w:w="1750" w:type="pct"/>
            <w:hideMark/>
          </w:tcPr>
          <w:p w:rsidR="00000000" w:rsidRDefault="00012F9E">
            <w:pPr>
              <w:rPr>
                <w:rFonts w:eastAsia="Times New Roman"/>
              </w:rPr>
            </w:pPr>
            <w:r>
              <w:rPr>
                <w:rFonts w:eastAsia="Times New Roman"/>
                <w:i/>
                <w:iCs/>
              </w:rPr>
              <w:t>02/07/2019 (Tuesday)</w:t>
            </w:r>
          </w:p>
        </w:tc>
        <w:tc>
          <w:tcPr>
            <w:tcW w:w="100" w:type="pct"/>
            <w:vAlign w:val="center"/>
            <w:hideMark/>
          </w:tcPr>
          <w:p w:rsidR="00000000" w:rsidRDefault="00012F9E">
            <w:pPr>
              <w:rPr>
                <w:rFonts w:eastAsia="Times New Roman"/>
              </w:rPr>
            </w:pPr>
            <w:r>
              <w:rPr>
                <w:rFonts w:eastAsia="Times New Roman"/>
              </w:rPr>
              <w:t> </w:t>
            </w:r>
          </w:p>
        </w:tc>
        <w:tc>
          <w:tcPr>
            <w:tcW w:w="500" w:type="pct"/>
            <w:hideMark/>
          </w:tcPr>
          <w:p w:rsidR="00000000" w:rsidRDefault="00012F9E">
            <w:pPr>
              <w:jc w:val="right"/>
              <w:rPr>
                <w:rFonts w:eastAsia="Times New Roman"/>
              </w:rPr>
            </w:pPr>
            <w:r>
              <w:rPr>
                <w:rFonts w:eastAsia="Times New Roman"/>
              </w:rPr>
              <w:t>Time:</w:t>
            </w:r>
          </w:p>
        </w:tc>
        <w:tc>
          <w:tcPr>
            <w:tcW w:w="50" w:type="pct"/>
            <w:vAlign w:val="center"/>
            <w:hideMark/>
          </w:tcPr>
          <w:p w:rsidR="00000000" w:rsidRDefault="00012F9E">
            <w:pPr>
              <w:rPr>
                <w:rFonts w:eastAsia="Times New Roman"/>
              </w:rPr>
            </w:pPr>
            <w:r>
              <w:rPr>
                <w:rFonts w:eastAsia="Times New Roman"/>
              </w:rPr>
              <w:t> </w:t>
            </w:r>
          </w:p>
        </w:tc>
        <w:tc>
          <w:tcPr>
            <w:tcW w:w="1750" w:type="pct"/>
            <w:hideMark/>
          </w:tcPr>
          <w:p w:rsidR="00000000" w:rsidRDefault="00012F9E">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 w:type="pct"/>
            <w:hideMark/>
          </w:tcPr>
          <w:p w:rsidR="00000000" w:rsidRDefault="00012F9E">
            <w:pPr>
              <w:jc w:val="right"/>
              <w:rPr>
                <w:rFonts w:eastAsia="Times New Roman"/>
              </w:rPr>
            </w:pPr>
            <w:r>
              <w:rPr>
                <w:rFonts w:eastAsia="Times New Roman"/>
              </w:rPr>
              <w:t>Venue:</w:t>
            </w:r>
          </w:p>
        </w:tc>
        <w:tc>
          <w:tcPr>
            <w:tcW w:w="50" w:type="pct"/>
            <w:vAlign w:val="center"/>
            <w:hideMark/>
          </w:tcPr>
          <w:p w:rsidR="00000000" w:rsidRDefault="00012F9E">
            <w:pPr>
              <w:rPr>
                <w:rFonts w:eastAsia="Times New Roman"/>
              </w:rPr>
            </w:pPr>
            <w:r>
              <w:rPr>
                <w:rFonts w:eastAsia="Times New Roman"/>
              </w:rPr>
              <w:t> </w:t>
            </w:r>
          </w:p>
        </w:tc>
        <w:tc>
          <w:tcPr>
            <w:tcW w:w="1750" w:type="pct"/>
            <w:hideMark/>
          </w:tcPr>
          <w:p w:rsidR="00000000" w:rsidRDefault="00012F9E">
            <w:pPr>
              <w:rPr>
                <w:rFonts w:eastAsia="Times New Roman"/>
              </w:rPr>
            </w:pPr>
            <w:r>
              <w:rPr>
                <w:rFonts w:eastAsia="Times New Roman"/>
                <w:i/>
                <w:iCs/>
              </w:rPr>
              <w:t>Rural Business Centre</w:t>
            </w:r>
          </w:p>
        </w:tc>
        <w:tc>
          <w:tcPr>
            <w:tcW w:w="100" w:type="pct"/>
            <w:vAlign w:val="center"/>
            <w:hideMark/>
          </w:tcPr>
          <w:p w:rsidR="00000000" w:rsidRDefault="00012F9E">
            <w:pPr>
              <w:rPr>
                <w:rFonts w:eastAsia="Times New Roman"/>
              </w:rPr>
            </w:pPr>
            <w:r>
              <w:rPr>
                <w:rFonts w:eastAsia="Times New Roman"/>
              </w:rPr>
              <w:t> </w:t>
            </w:r>
          </w:p>
        </w:tc>
        <w:tc>
          <w:tcPr>
            <w:tcW w:w="500" w:type="pct"/>
            <w:hideMark/>
          </w:tcPr>
          <w:p w:rsidR="00000000" w:rsidRDefault="00012F9E">
            <w:pPr>
              <w:jc w:val="right"/>
              <w:rPr>
                <w:rFonts w:eastAsia="Times New Roman"/>
              </w:rPr>
            </w:pPr>
            <w:r>
              <w:rPr>
                <w:rFonts w:eastAsia="Times New Roman"/>
              </w:rPr>
              <w:t>Committee:</w:t>
            </w:r>
          </w:p>
        </w:tc>
        <w:tc>
          <w:tcPr>
            <w:tcW w:w="50" w:type="pct"/>
            <w:vAlign w:val="center"/>
            <w:hideMark/>
          </w:tcPr>
          <w:p w:rsidR="00000000" w:rsidRDefault="00012F9E">
            <w:pPr>
              <w:rPr>
                <w:rFonts w:eastAsia="Times New Roman"/>
              </w:rPr>
            </w:pPr>
            <w:r>
              <w:rPr>
                <w:rFonts w:eastAsia="Times New Roman"/>
              </w:rPr>
              <w:t> </w:t>
            </w:r>
          </w:p>
        </w:tc>
        <w:tc>
          <w:tcPr>
            <w:tcW w:w="1750" w:type="pct"/>
            <w:hideMark/>
          </w:tcPr>
          <w:p w:rsidR="00000000" w:rsidRDefault="00012F9E">
            <w:pPr>
              <w:rPr>
                <w:rFonts w:eastAsia="Times New Roman"/>
              </w:rPr>
            </w:pPr>
            <w:r>
              <w:rPr>
                <w:rFonts w:eastAsia="Times New Roman"/>
                <w:i/>
                <w:iCs/>
              </w:rPr>
              <w:t>Finance and Resources</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 w:type="pct"/>
            <w:hideMark/>
          </w:tcPr>
          <w:p w:rsidR="00000000" w:rsidRDefault="00012F9E">
            <w:pPr>
              <w:jc w:val="right"/>
              <w:rPr>
                <w:rFonts w:eastAsia="Times New Roman"/>
              </w:rPr>
            </w:pPr>
            <w:r>
              <w:rPr>
                <w:rFonts w:eastAsia="Times New Roman"/>
              </w:rPr>
              <w:t>Notes:</w:t>
            </w:r>
          </w:p>
        </w:tc>
        <w:tc>
          <w:tcPr>
            <w:tcW w:w="50" w:type="pct"/>
            <w:vAlign w:val="center"/>
            <w:hideMark/>
          </w:tcPr>
          <w:p w:rsidR="00000000" w:rsidRDefault="00012F9E">
            <w:pPr>
              <w:rPr>
                <w:rFonts w:eastAsia="Times New Roman"/>
              </w:rPr>
            </w:pPr>
            <w:r>
              <w:rPr>
                <w:rFonts w:eastAsia="Times New Roman"/>
              </w:rPr>
              <w:t> </w:t>
            </w:r>
          </w:p>
        </w:tc>
        <w:tc>
          <w:tcPr>
            <w:tcW w:w="2700" w:type="pct"/>
            <w:gridSpan w:val="5"/>
            <w:hideMark/>
          </w:tcPr>
          <w:p w:rsidR="00000000" w:rsidRDefault="00012F9E">
            <w:pPr>
              <w:rPr>
                <w:rFonts w:eastAsia="Times New Roman"/>
              </w:rPr>
            </w:pPr>
            <w:r>
              <w:rPr>
                <w:rFonts w:eastAsia="Times New Roman"/>
                <w:i/>
                <w:iCs/>
              </w:rPr>
              <w:t>Refreshments will be available from 5.30pm</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 w:type="pct"/>
            <w:hideMark/>
          </w:tcPr>
          <w:p w:rsidR="00000000" w:rsidRDefault="00012F9E">
            <w:pPr>
              <w:jc w:val="right"/>
              <w:rPr>
                <w:rFonts w:eastAsia="Times New Roman"/>
              </w:rPr>
            </w:pPr>
            <w:r>
              <w:rPr>
                <w:rFonts w:eastAsia="Times New Roman"/>
              </w:rPr>
              <w:t>Present:</w:t>
            </w:r>
          </w:p>
        </w:tc>
        <w:tc>
          <w:tcPr>
            <w:tcW w:w="50" w:type="pct"/>
            <w:vAlign w:val="center"/>
            <w:hideMark/>
          </w:tcPr>
          <w:p w:rsidR="00000000" w:rsidRDefault="00012F9E">
            <w:pPr>
              <w:rPr>
                <w:rFonts w:eastAsia="Times New Roman"/>
              </w:rPr>
            </w:pPr>
            <w:r>
              <w:rPr>
                <w:rFonts w:eastAsia="Times New Roman"/>
              </w:rPr>
              <w:t> </w:t>
            </w:r>
          </w:p>
        </w:tc>
        <w:tc>
          <w:tcPr>
            <w:tcW w:w="2700" w:type="pct"/>
            <w:gridSpan w:val="5"/>
            <w:hideMark/>
          </w:tcPr>
          <w:p w:rsidR="00000000" w:rsidRDefault="00012F9E">
            <w:pPr>
              <w:rPr>
                <w:rFonts w:eastAsia="Times New Roman"/>
              </w:rPr>
            </w:pPr>
            <w:r>
              <w:rPr>
                <w:rFonts w:eastAsia="Times New Roman"/>
                <w:i/>
                <w:iCs/>
              </w:rPr>
              <w:t xml:space="preserve">Alison Robinson (Principal), David Hall, Ian Higginbotham (Chairman), John Morphet, Richard Furnival (Vice Chairman) and Stuart </w:t>
            </w:r>
            <w:proofErr w:type="spellStart"/>
            <w:r>
              <w:rPr>
                <w:rFonts w:eastAsia="Times New Roman"/>
                <w:i/>
                <w:iCs/>
              </w:rPr>
              <w:t>Heys</w:t>
            </w:r>
            <w:proofErr w:type="spellEnd"/>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 w:type="pct"/>
            <w:hideMark/>
          </w:tcPr>
          <w:p w:rsidR="00000000" w:rsidRDefault="00012F9E">
            <w:pPr>
              <w:jc w:val="right"/>
              <w:rPr>
                <w:rFonts w:eastAsia="Times New Roman"/>
              </w:rPr>
            </w:pPr>
            <w:r>
              <w:rPr>
                <w:rFonts w:eastAsia="Times New Roman"/>
              </w:rPr>
              <w:t>Attending:</w:t>
            </w:r>
          </w:p>
        </w:tc>
        <w:tc>
          <w:tcPr>
            <w:tcW w:w="50" w:type="pct"/>
            <w:vAlign w:val="center"/>
            <w:hideMark/>
          </w:tcPr>
          <w:p w:rsidR="00000000" w:rsidRDefault="00012F9E">
            <w:pPr>
              <w:rPr>
                <w:rFonts w:eastAsia="Times New Roman"/>
              </w:rPr>
            </w:pPr>
            <w:r>
              <w:rPr>
                <w:rFonts w:eastAsia="Times New Roman"/>
              </w:rPr>
              <w:t> </w:t>
            </w:r>
          </w:p>
        </w:tc>
        <w:tc>
          <w:tcPr>
            <w:tcW w:w="2700" w:type="pct"/>
            <w:gridSpan w:val="5"/>
            <w:hideMark/>
          </w:tcPr>
          <w:p w:rsidR="00000000" w:rsidRDefault="00012F9E">
            <w:pPr>
              <w:rPr>
                <w:rFonts w:eastAsia="Times New Roman"/>
              </w:rPr>
            </w:pPr>
            <w:r>
              <w:rPr>
                <w:rFonts w:eastAsia="Times New Roman"/>
                <w:i/>
                <w:iCs/>
              </w:rPr>
              <w:t>John Wherry (Deputy Principal), Richard Morris (Deputy Principal) and Steven Downham-Clarke (Vice Principal)</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r w:rsidR="00000000">
        <w:trPr>
          <w:tblCellSpacing w:w="15" w:type="dxa"/>
        </w:trPr>
        <w:tc>
          <w:tcPr>
            <w:tcW w:w="500" w:type="pct"/>
            <w:hideMark/>
          </w:tcPr>
          <w:p w:rsidR="00000000" w:rsidRDefault="00012F9E">
            <w:pPr>
              <w:jc w:val="right"/>
              <w:rPr>
                <w:rFonts w:eastAsia="Times New Roman"/>
              </w:rPr>
            </w:pPr>
            <w:r>
              <w:rPr>
                <w:rFonts w:eastAsia="Times New Roman"/>
              </w:rPr>
              <w:t>Clerks:</w:t>
            </w:r>
          </w:p>
        </w:tc>
        <w:tc>
          <w:tcPr>
            <w:tcW w:w="50" w:type="pct"/>
            <w:vAlign w:val="center"/>
            <w:hideMark/>
          </w:tcPr>
          <w:p w:rsidR="00000000" w:rsidRDefault="00012F9E">
            <w:pPr>
              <w:rPr>
                <w:rFonts w:eastAsia="Times New Roman"/>
              </w:rPr>
            </w:pPr>
            <w:r>
              <w:rPr>
                <w:rFonts w:eastAsia="Times New Roman"/>
              </w:rPr>
              <w:t> </w:t>
            </w:r>
          </w:p>
        </w:tc>
        <w:tc>
          <w:tcPr>
            <w:tcW w:w="2700" w:type="pct"/>
            <w:gridSpan w:val="5"/>
            <w:hideMark/>
          </w:tcPr>
          <w:p w:rsidR="00000000" w:rsidRDefault="00012F9E">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012F9E">
            <w:pPr>
              <w:rPr>
                <w:rFonts w:eastAsia="Times New Roman"/>
              </w:rPr>
            </w:pPr>
            <w:r>
              <w:rPr>
                <w:rFonts w:eastAsia="Times New Roman"/>
              </w:rPr>
              <w:t> </w:t>
            </w:r>
          </w:p>
        </w:tc>
      </w:tr>
    </w:tbl>
    <w:p w:rsidR="00000000" w:rsidRDefault="00012F9E">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1"/>
        <w:gridCol w:w="7205"/>
      </w:tblGrid>
      <w:tr w:rsidR="00000000" w:rsidTr="00012F9E">
        <w:trPr>
          <w:tblCellSpacing w:w="15" w:type="dxa"/>
        </w:trPr>
        <w:tc>
          <w:tcPr>
            <w:tcW w:w="4967" w:type="pct"/>
            <w:gridSpan w:val="2"/>
            <w:vAlign w:val="center"/>
            <w:hideMark/>
          </w:tcPr>
          <w:p w:rsidR="00000000" w:rsidRDefault="00012F9E">
            <w:pPr>
              <w:jc w:val="center"/>
              <w:rPr>
                <w:rFonts w:eastAsia="Times New Roman"/>
              </w:rPr>
            </w:pPr>
            <w:r>
              <w:rPr>
                <w:rFonts w:eastAsia="Times New Roman"/>
                <w:b/>
                <w:bCs/>
                <w:i/>
                <w:iCs/>
              </w:rPr>
              <w:t>Public</w:t>
            </w:r>
            <w:r>
              <w:rPr>
                <w:rFonts w:eastAsia="Times New Roman"/>
                <w:b/>
                <w:bCs/>
              </w:rPr>
              <w:t xml:space="preserve"> Minutes</w:t>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rPr>
              <w:t>Item number:</w:t>
            </w:r>
          </w:p>
        </w:tc>
        <w:tc>
          <w:tcPr>
            <w:tcW w:w="3963" w:type="pct"/>
            <w:hideMark/>
          </w:tcPr>
          <w:p w:rsidR="00000000" w:rsidRDefault="00012F9E">
            <w:pPr>
              <w:rPr>
                <w:rFonts w:eastAsia="Times New Roman"/>
              </w:rPr>
            </w:pPr>
            <w:r>
              <w:rPr>
                <w:rFonts w:eastAsia="Times New Roman"/>
              </w:rPr>
              <w:t>Item description:</w:t>
            </w:r>
          </w:p>
        </w:tc>
      </w:tr>
      <w:tr w:rsidR="00000000" w:rsidTr="00012F9E">
        <w:trPr>
          <w:tblCellSpacing w:w="15" w:type="dxa"/>
        </w:trPr>
        <w:tc>
          <w:tcPr>
            <w:tcW w:w="987" w:type="pct"/>
            <w:hideMark/>
          </w:tcPr>
          <w:p w:rsidR="00000000" w:rsidRDefault="00012F9E">
            <w:pPr>
              <w:rPr>
                <w:rFonts w:eastAsia="Times New Roman"/>
              </w:rPr>
            </w:pPr>
            <w:r>
              <w:rPr>
                <w:rFonts w:eastAsia="Times New Roman"/>
              </w:rPr>
              <w:t>(and category)</w:t>
            </w:r>
          </w:p>
        </w:tc>
        <w:tc>
          <w:tcPr>
            <w:tcW w:w="3963" w:type="pct"/>
            <w:hideMark/>
          </w:tcPr>
          <w:p w:rsidR="00000000" w:rsidRDefault="00012F9E">
            <w:pPr>
              <w:rPr>
                <w:rFonts w:eastAsia="Times New Roman"/>
              </w:rPr>
            </w:pPr>
            <w:r>
              <w:rPr>
                <w:rFonts w:eastAsia="Times New Roman"/>
              </w:rPr>
              <w:t> </w:t>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11.19</w:t>
            </w:r>
          </w:p>
        </w:tc>
        <w:tc>
          <w:tcPr>
            <w:tcW w:w="3963" w:type="pct"/>
            <w:hideMark/>
          </w:tcPr>
          <w:p w:rsidR="00000000" w:rsidRDefault="00012F9E">
            <w:pPr>
              <w:rPr>
                <w:rFonts w:eastAsia="Times New Roman"/>
              </w:rPr>
            </w:pPr>
            <w:r>
              <w:rPr>
                <w:rFonts w:eastAsia="Times New Roman"/>
                <w:b/>
                <w:bCs/>
                <w:i/>
                <w:iCs/>
              </w:rPr>
              <w:t>Attendance of College Management Staff</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t>College management and / or consultants may attend meetings by invitation in an advisor</w:t>
            </w:r>
            <w:r>
              <w:rPr>
                <w:rFonts w:eastAsia="Times New Roman"/>
              </w:rPr>
              <w:t>y capacity.</w:t>
            </w:r>
          </w:p>
          <w:p w:rsidR="002279F1" w:rsidRDefault="00012F9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2279F1" w:rsidRDefault="002279F1">
            <w:pPr>
              <w:rPr>
                <w:rStyle w:val="Strong"/>
              </w:rPr>
            </w:pPr>
          </w:p>
          <w:p w:rsidR="00000000" w:rsidRDefault="00012F9E">
            <w:pPr>
              <w:rPr>
                <w:rFonts w:eastAsia="Times New Roman"/>
              </w:rPr>
            </w:pPr>
            <w:r>
              <w:rPr>
                <w:rStyle w:val="Strong"/>
                <w:rFonts w:eastAsia="Times New Roman"/>
              </w:rPr>
              <w:t>That College Management staff attend the meeting.</w:t>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12.19</w:t>
            </w:r>
          </w:p>
        </w:tc>
        <w:tc>
          <w:tcPr>
            <w:tcW w:w="3963" w:type="pct"/>
            <w:hideMark/>
          </w:tcPr>
          <w:p w:rsidR="00000000" w:rsidRDefault="00012F9E">
            <w:pPr>
              <w:rPr>
                <w:rFonts w:eastAsia="Times New Roman"/>
              </w:rPr>
            </w:pPr>
            <w:r>
              <w:rPr>
                <w:rFonts w:eastAsia="Times New Roman"/>
                <w:b/>
                <w:bCs/>
                <w:i/>
                <w:iCs/>
              </w:rPr>
              <w:t>Apologies for Absence</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Record</w:t>
            </w:r>
          </w:p>
        </w:tc>
        <w:tc>
          <w:tcPr>
            <w:tcW w:w="3963" w:type="pct"/>
            <w:hideMark/>
          </w:tcPr>
          <w:p w:rsidR="00000000" w:rsidRDefault="00012F9E">
            <w:pPr>
              <w:rPr>
                <w:rFonts w:eastAsia="Times New Roman"/>
              </w:rPr>
            </w:pPr>
            <w:r>
              <w:rPr>
                <w:rFonts w:eastAsia="Times New Roman"/>
              </w:rPr>
              <w:t>An apology for absence was received from David Hall.</w:t>
            </w:r>
            <w:r>
              <w:rPr>
                <w:rFonts w:eastAsia="Times New Roman"/>
              </w:rPr>
              <w:br w:type="page"/>
            </w:r>
            <w:r>
              <w:rPr>
                <w:rFonts w:eastAsia="Times New Roman"/>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13.19</w:t>
            </w:r>
          </w:p>
        </w:tc>
        <w:tc>
          <w:tcPr>
            <w:tcW w:w="3963" w:type="pct"/>
            <w:hideMark/>
          </w:tcPr>
          <w:p w:rsidR="00000000" w:rsidRDefault="00012F9E">
            <w:pPr>
              <w:rPr>
                <w:rFonts w:eastAsia="Times New Roman"/>
              </w:rPr>
            </w:pPr>
            <w:r>
              <w:rPr>
                <w:rFonts w:eastAsia="Times New Roman"/>
                <w:b/>
                <w:bCs/>
                <w:i/>
                <w:iCs/>
              </w:rPr>
              <w:t>Public Minutes of Previous Meeting</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000000" w:rsidRDefault="00012F9E">
            <w:pPr>
              <w:rPr>
                <w:rFonts w:eastAsia="Times New Roman"/>
              </w:rPr>
            </w:pPr>
            <w:r>
              <w:rPr>
                <w:rFonts w:eastAsia="Times New Roman"/>
              </w:rPr>
              <w:t>The public minutes of the Finance &amp; Resources Committee meeting number 25 held on 5 March 2019 (published on the extranet) were signed and agreed as a true and accurate record of the meeting.</w:t>
            </w:r>
            <w:r>
              <w:rPr>
                <w:rFonts w:eastAsia="Times New Roman"/>
              </w:rPr>
              <w:br w:type="page"/>
            </w:r>
            <w:r>
              <w:rPr>
                <w:rFonts w:eastAsia="Times New Roman"/>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14.19</w:t>
            </w:r>
          </w:p>
        </w:tc>
        <w:tc>
          <w:tcPr>
            <w:tcW w:w="3963" w:type="pct"/>
            <w:hideMark/>
          </w:tcPr>
          <w:p w:rsidR="00000000" w:rsidRDefault="00012F9E">
            <w:pPr>
              <w:rPr>
                <w:rFonts w:eastAsia="Times New Roman"/>
              </w:rPr>
            </w:pPr>
            <w:r>
              <w:rPr>
                <w:rFonts w:eastAsia="Times New Roman"/>
                <w:b/>
                <w:bCs/>
                <w:i/>
                <w:iCs/>
              </w:rPr>
              <w:t>Declarations of Interest</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Record</w:t>
            </w:r>
          </w:p>
        </w:tc>
        <w:tc>
          <w:tcPr>
            <w:tcW w:w="3963" w:type="pct"/>
            <w:hideMark/>
          </w:tcPr>
          <w:p w:rsidR="00000000" w:rsidRDefault="00012F9E">
            <w:pPr>
              <w:rPr>
                <w:rFonts w:eastAsia="Times New Roman"/>
              </w:rPr>
            </w:pPr>
            <w:r>
              <w:rPr>
                <w:rFonts w:eastAsia="Times New Roman"/>
              </w:rPr>
              <w:t>There were no decl</w:t>
            </w:r>
            <w:r>
              <w:rPr>
                <w:rFonts w:eastAsia="Times New Roman"/>
              </w:rPr>
              <w:t>arations of interest made in respect of items on the public agenda.</w:t>
            </w:r>
            <w:r>
              <w:rPr>
                <w:rFonts w:eastAsia="Times New Roman"/>
              </w:rPr>
              <w:br w:type="page"/>
            </w:r>
            <w:r>
              <w:rPr>
                <w:rFonts w:eastAsia="Times New Roman"/>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15.19</w:t>
            </w:r>
          </w:p>
        </w:tc>
        <w:tc>
          <w:tcPr>
            <w:tcW w:w="3963" w:type="pct"/>
            <w:hideMark/>
          </w:tcPr>
          <w:p w:rsidR="00000000" w:rsidRDefault="00012F9E">
            <w:pPr>
              <w:rPr>
                <w:rFonts w:eastAsia="Times New Roman"/>
              </w:rPr>
            </w:pPr>
            <w:r>
              <w:rPr>
                <w:rFonts w:eastAsia="Times New Roman"/>
                <w:b/>
                <w:bCs/>
                <w:i/>
                <w:iCs/>
              </w:rPr>
              <w:t>Financial Position Statement for the Period Ended 30 April 2019</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 xml:space="preserve">The Committee </w:t>
            </w:r>
            <w:proofErr w:type="gramStart"/>
            <w:r>
              <w:rPr>
                <w:rFonts w:eastAsia="Times New Roman"/>
              </w:rPr>
              <w:t>gave consideration to</w:t>
            </w:r>
            <w:proofErr w:type="gramEnd"/>
            <w:r>
              <w:rPr>
                <w:rFonts w:eastAsia="Times New Roman"/>
              </w:rPr>
              <w:t xml:space="preserve"> the Financial Position Statement for the period ending 30 April 2019. The report included information on investment funds and cash flow.</w:t>
            </w:r>
            <w:r>
              <w:rPr>
                <w:rFonts w:eastAsia="Times New Roman"/>
              </w:rPr>
              <w:br w:type="page"/>
            </w:r>
            <w:r>
              <w:rPr>
                <w:rFonts w:eastAsia="Times New Roman"/>
              </w:rPr>
              <w:br w:type="page"/>
              <w:t>The Chair stated that as the Committee would be considering the budget papers at t</w:t>
            </w:r>
            <w:r>
              <w:rPr>
                <w:rFonts w:eastAsia="Times New Roman"/>
              </w:rPr>
              <w:t xml:space="preserve">heir Special Meeting on 15 July 2019, which would include an outturn report for the year, there was little value in an undertaking an </w:t>
            </w:r>
            <w:proofErr w:type="gramStart"/>
            <w:r>
              <w:rPr>
                <w:rFonts w:eastAsia="Times New Roman"/>
              </w:rPr>
              <w:t>in depth</w:t>
            </w:r>
            <w:proofErr w:type="gramEnd"/>
            <w:r>
              <w:rPr>
                <w:rFonts w:eastAsia="Times New Roman"/>
              </w:rPr>
              <w:t xml:space="preserve"> review of the financial situation as at 30 April 2019.</w:t>
            </w:r>
            <w:r>
              <w:rPr>
                <w:rFonts w:eastAsia="Times New Roman"/>
              </w:rPr>
              <w:br w:type="page"/>
            </w:r>
            <w:r>
              <w:rPr>
                <w:rFonts w:eastAsia="Times New Roman"/>
              </w:rPr>
              <w:br w:type="page"/>
              <w:t>It was</w:t>
            </w:r>
          </w:p>
          <w:p w:rsidR="002279F1" w:rsidRDefault="002279F1">
            <w:pPr>
              <w:rPr>
                <w:rFonts w:eastAsia="Times New Roman"/>
              </w:rPr>
            </w:pPr>
          </w:p>
          <w:p w:rsidR="002279F1" w:rsidRDefault="00012F9E">
            <w:pPr>
              <w:rPr>
                <w:rFonts w:eastAsia="Times New Roman"/>
                <w:b/>
                <w:bCs/>
              </w:rPr>
            </w:pPr>
            <w:r>
              <w:rPr>
                <w:rFonts w:eastAsia="Times New Roman"/>
              </w:rPr>
              <w:br w:type="page"/>
            </w:r>
            <w:r>
              <w:rPr>
                <w:rFonts w:eastAsia="Times New Roman"/>
                <w:b/>
                <w:bCs/>
              </w:rPr>
              <w:br w:type="page"/>
            </w:r>
            <w:r>
              <w:rPr>
                <w:rStyle w:val="Strong"/>
                <w:rFonts w:eastAsia="Times New Roman"/>
              </w:rPr>
              <w:t>Resolved:</w:t>
            </w:r>
            <w:r>
              <w:rPr>
                <w:rFonts w:eastAsia="Times New Roman"/>
                <w:b/>
                <w:bCs/>
              </w:rPr>
              <w:br w:type="page"/>
            </w:r>
            <w:r>
              <w:rPr>
                <w:rFonts w:eastAsia="Times New Roman"/>
                <w:b/>
                <w:bCs/>
              </w:rPr>
              <w:br w:type="page"/>
            </w:r>
          </w:p>
          <w:p w:rsidR="002279F1" w:rsidRDefault="002279F1">
            <w:pPr>
              <w:rPr>
                <w:rStyle w:val="Strong"/>
              </w:rPr>
            </w:pPr>
          </w:p>
          <w:p w:rsidR="00000000" w:rsidRDefault="00012F9E">
            <w:pPr>
              <w:rPr>
                <w:rFonts w:eastAsia="Times New Roman"/>
              </w:rPr>
            </w:pPr>
            <w:r>
              <w:rPr>
                <w:rStyle w:val="Strong"/>
                <w:rFonts w:eastAsia="Times New Roman"/>
              </w:rPr>
              <w:t xml:space="preserve">That the Financial Position Statement </w:t>
            </w:r>
            <w:r>
              <w:rPr>
                <w:rStyle w:val="Strong"/>
                <w:rFonts w:eastAsia="Times New Roman"/>
              </w:rPr>
              <w:t>for the period ending 30 April 2018 be received.</w:t>
            </w:r>
            <w:r>
              <w:rPr>
                <w:rFonts w:eastAsia="Times New Roman"/>
                <w:b/>
                <w:bCs/>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16.19</w:t>
            </w:r>
          </w:p>
        </w:tc>
        <w:tc>
          <w:tcPr>
            <w:tcW w:w="3963" w:type="pct"/>
            <w:hideMark/>
          </w:tcPr>
          <w:p w:rsidR="00000000" w:rsidRDefault="00012F9E">
            <w:pPr>
              <w:rPr>
                <w:rFonts w:eastAsia="Times New Roman"/>
              </w:rPr>
            </w:pPr>
            <w:r>
              <w:rPr>
                <w:rFonts w:eastAsia="Times New Roman"/>
                <w:b/>
                <w:bCs/>
                <w:i/>
                <w:iCs/>
              </w:rPr>
              <w:t>Myerscough Ventures Report for the Period Ended 30 April 2019</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 xml:space="preserve">Consideration was given to the Myerscough Ventures Financial Performance Report for the period ended 30 April 2019.  </w:t>
            </w:r>
            <w:r>
              <w:rPr>
                <w:rFonts w:eastAsia="Times New Roman"/>
              </w:rPr>
              <w:br w:type="page"/>
            </w:r>
            <w:r>
              <w:rPr>
                <w:rFonts w:eastAsia="Times New Roman"/>
              </w:rPr>
              <w:br w:type="page"/>
              <w:t>At t</w:t>
            </w:r>
            <w:r>
              <w:rPr>
                <w:rFonts w:eastAsia="Times New Roman"/>
              </w:rPr>
              <w:t xml:space="preserve">he end of the period the income contribution from Myerscough Ventures provided a total contribution of £1,105,372 behind profile by £92,654. This underperformance related directly to lower student numbers meaning less </w:t>
            </w:r>
            <w:r>
              <w:rPr>
                <w:rFonts w:eastAsia="Times New Roman"/>
              </w:rPr>
              <w:lastRenderedPageBreak/>
              <w:t>income from accommodation and catering</w:t>
            </w:r>
            <w:r>
              <w:rPr>
                <w:rFonts w:eastAsia="Times New Roman"/>
              </w:rPr>
              <w:t>.</w:t>
            </w:r>
            <w:r>
              <w:rPr>
                <w:rFonts w:eastAsia="Times New Roman"/>
              </w:rPr>
              <w:br w:type="page"/>
            </w:r>
            <w:r>
              <w:rPr>
                <w:rFonts w:eastAsia="Times New Roman"/>
              </w:rPr>
              <w:br w:type="page"/>
              <w:t>Some areas had performed well, close to or on target.  Commercial Horticulture was short of target.</w:t>
            </w:r>
            <w:r>
              <w:rPr>
                <w:rFonts w:eastAsia="Times New Roman"/>
              </w:rPr>
              <w:br w:type="page"/>
            </w:r>
            <w:r>
              <w:rPr>
                <w:rFonts w:eastAsia="Times New Roman"/>
              </w:rPr>
              <w:br w:type="page"/>
              <w:t>Contributions to overheads were shown after the allocation of the direct costs associated with the activities.</w:t>
            </w:r>
            <w:r>
              <w:rPr>
                <w:rFonts w:eastAsia="Times New Roman"/>
              </w:rPr>
              <w:br w:type="page"/>
            </w:r>
            <w:r>
              <w:rPr>
                <w:rFonts w:eastAsia="Times New Roman"/>
              </w:rPr>
              <w:br w:type="page"/>
            </w:r>
          </w:p>
          <w:p w:rsidR="002279F1" w:rsidRDefault="00012F9E">
            <w:pPr>
              <w:rPr>
                <w:rFonts w:eastAsia="Times New Roman"/>
              </w:rPr>
            </w:pPr>
            <w:r>
              <w:rPr>
                <w:rStyle w:val="Strong"/>
                <w:rFonts w:eastAsia="Times New Roman"/>
              </w:rPr>
              <w:t>The Farm</w:t>
            </w:r>
            <w:r>
              <w:rPr>
                <w:rFonts w:eastAsia="Times New Roman"/>
              </w:rPr>
              <w:t xml:space="preserve"> - Performance was significantly</w:t>
            </w:r>
            <w:r>
              <w:rPr>
                <w:rFonts w:eastAsia="Times New Roman"/>
              </w:rPr>
              <w:t xml:space="preserve"> below projections.  A discussion took place and members asked questions on aspects of performance described in the monitoring plan. The original year end outturn would not be achieved and the team were working hard to manage expenditure during the final p</w:t>
            </w:r>
            <w:r>
              <w:rPr>
                <w:rFonts w:eastAsia="Times New Roman"/>
              </w:rPr>
              <w:t xml:space="preserve">eriod of the year.  Members noted the monitoring plan, farm staffing, and attention to the farm enterprises. The Farm Director had recently resigned from the post. </w:t>
            </w:r>
            <w:r>
              <w:rPr>
                <w:rFonts w:eastAsia="Times New Roman"/>
              </w:rPr>
              <w:br w:type="page"/>
            </w:r>
            <w:r>
              <w:rPr>
                <w:rFonts w:eastAsia="Times New Roman"/>
              </w:rPr>
              <w:br w:type="page"/>
              <w:t>The Committee sought assurance that the financial position of the Farm would improve befor</w:t>
            </w:r>
            <w:r>
              <w:rPr>
                <w:rFonts w:eastAsia="Times New Roman"/>
              </w:rPr>
              <w:t>e the end of the financial year.  </w:t>
            </w:r>
          </w:p>
          <w:p w:rsidR="002279F1" w:rsidRDefault="00012F9E">
            <w:pPr>
              <w:rPr>
                <w:rFonts w:eastAsia="Times New Roman"/>
              </w:rPr>
            </w:pPr>
            <w:r>
              <w:rPr>
                <w:rFonts w:eastAsia="Times New Roman"/>
              </w:rPr>
              <w:br w:type="page"/>
            </w:r>
            <w:r>
              <w:rPr>
                <w:rFonts w:eastAsia="Times New Roman"/>
              </w:rPr>
              <w:br w:type="page"/>
            </w:r>
            <w:r>
              <w:rPr>
                <w:rStyle w:val="Strong"/>
                <w:rFonts w:eastAsia="Times New Roman"/>
              </w:rPr>
              <w:t xml:space="preserve">The Food, Farming, Technical &amp; Innovation Centre (FFIT) - </w:t>
            </w:r>
            <w:r>
              <w:rPr>
                <w:rFonts w:eastAsia="Times New Roman"/>
              </w:rPr>
              <w:t xml:space="preserve">Members </w:t>
            </w:r>
            <w:proofErr w:type="gramStart"/>
            <w:r>
              <w:rPr>
                <w:rFonts w:eastAsia="Times New Roman"/>
              </w:rPr>
              <w:t>gave consideration to</w:t>
            </w:r>
            <w:proofErr w:type="gramEnd"/>
            <w:r>
              <w:rPr>
                <w:rFonts w:eastAsia="Times New Roman"/>
              </w:rPr>
              <w:t xml:space="preserve"> the summary of progress against FFIT / LEP targets to May 2019.  Overall project targets were due to be achieved by 31 March 2021.  </w:t>
            </w:r>
            <w:r>
              <w:rPr>
                <w:rFonts w:eastAsia="Times New Roman"/>
              </w:rPr>
              <w:t>Members asked questions on FFIT financial and strategic performance.  The external marketing of the FFIT on the College website was now in place.</w:t>
            </w:r>
          </w:p>
          <w:p w:rsidR="002279F1" w:rsidRDefault="002279F1">
            <w:pPr>
              <w:rPr>
                <w:rFonts w:eastAsia="Times New Roman"/>
              </w:rPr>
            </w:pPr>
          </w:p>
          <w:p w:rsidR="002279F1" w:rsidRDefault="00012F9E">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2279F1" w:rsidRDefault="002279F1">
            <w:pPr>
              <w:rPr>
                <w:rFonts w:eastAsia="Times New Roman"/>
                <w:b/>
                <w:bCs/>
              </w:rPr>
            </w:pPr>
          </w:p>
          <w:p w:rsidR="002279F1" w:rsidRDefault="00012F9E">
            <w:pPr>
              <w:rPr>
                <w:rFonts w:eastAsia="Times New Roman"/>
                <w:b/>
                <w:bCs/>
              </w:rPr>
            </w:pPr>
            <w:r>
              <w:rPr>
                <w:rFonts w:eastAsia="Times New Roman"/>
                <w:b/>
                <w:bCs/>
              </w:rPr>
              <w:br w:type="page"/>
            </w:r>
            <w:r>
              <w:rPr>
                <w:rFonts w:eastAsia="Times New Roman"/>
                <w:b/>
                <w:bCs/>
              </w:rPr>
              <w:br w:type="page"/>
            </w:r>
            <w:r>
              <w:rPr>
                <w:rStyle w:val="Strong"/>
                <w:rFonts w:eastAsia="Times New Roman"/>
              </w:rPr>
              <w:t>1. That the Ventures Report for the period ended 30 April 2019 be received.</w:t>
            </w:r>
            <w:r>
              <w:rPr>
                <w:rFonts w:eastAsia="Times New Roman"/>
                <w:b/>
                <w:bCs/>
              </w:rPr>
              <w:br w:type="page"/>
            </w:r>
            <w:r>
              <w:rPr>
                <w:rFonts w:eastAsia="Times New Roman"/>
                <w:b/>
                <w:bCs/>
              </w:rPr>
              <w:br w:type="page"/>
            </w:r>
          </w:p>
          <w:p w:rsidR="002279F1" w:rsidRDefault="002279F1">
            <w:pPr>
              <w:rPr>
                <w:rStyle w:val="Strong"/>
              </w:rPr>
            </w:pPr>
          </w:p>
          <w:p w:rsidR="002279F1" w:rsidRDefault="00012F9E">
            <w:pPr>
              <w:rPr>
                <w:rStyle w:val="Strong"/>
                <w:rFonts w:eastAsia="Times New Roman"/>
              </w:rPr>
            </w:pPr>
            <w:r>
              <w:rPr>
                <w:rStyle w:val="Strong"/>
                <w:rFonts w:eastAsia="Times New Roman"/>
              </w:rPr>
              <w:t>2. That the Farm moni</w:t>
            </w:r>
            <w:r>
              <w:rPr>
                <w:rStyle w:val="Strong"/>
                <w:rFonts w:eastAsia="Times New Roman"/>
              </w:rPr>
              <w:t>toring report be received and that Officers continue their work to improve the financial performance by the end of year.</w:t>
            </w:r>
          </w:p>
          <w:p w:rsidR="002279F1" w:rsidRDefault="002279F1">
            <w:pPr>
              <w:rPr>
                <w:rFonts w:eastAsia="Times New Roman"/>
                <w:b/>
                <w:bCs/>
              </w:rPr>
            </w:pPr>
          </w:p>
          <w:p w:rsidR="00000000" w:rsidRDefault="00012F9E">
            <w:pPr>
              <w:rPr>
                <w:rFonts w:eastAsia="Times New Roman"/>
              </w:rPr>
            </w:pPr>
            <w:r>
              <w:rPr>
                <w:rFonts w:eastAsia="Times New Roman"/>
                <w:b/>
                <w:bCs/>
              </w:rPr>
              <w:br w:type="page"/>
            </w:r>
            <w:r>
              <w:rPr>
                <w:rFonts w:eastAsia="Times New Roman"/>
                <w:b/>
                <w:bCs/>
              </w:rPr>
              <w:br w:type="page"/>
            </w:r>
            <w:r>
              <w:rPr>
                <w:rStyle w:val="Strong"/>
                <w:rFonts w:eastAsia="Times New Roman"/>
              </w:rPr>
              <w:t>3. That the FFIT progress report be received.</w:t>
            </w:r>
            <w:r>
              <w:rPr>
                <w:rFonts w:eastAsia="Times New Roman"/>
                <w:b/>
                <w:bCs/>
              </w:rPr>
              <w:br w:type="page"/>
            </w:r>
            <w:r>
              <w:rPr>
                <w:rFonts w:eastAsia="Times New Roman"/>
                <w:b/>
                <w:bCs/>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tblGrid>
            <w:tr w:rsidR="00000000" w:rsidTr="002279F1">
              <w:trPr>
                <w:trHeight w:val="162"/>
                <w:tblCellSpacing w:w="15" w:type="dxa"/>
              </w:trPr>
              <w:tc>
                <w:tcPr>
                  <w:tcW w:w="0" w:type="auto"/>
                  <w:vAlign w:val="center"/>
                  <w:hideMark/>
                </w:tcPr>
                <w:p w:rsidR="00000000" w:rsidRDefault="00012F9E">
                  <w:pPr>
                    <w:pStyle w:val="NormalWeb"/>
                    <w:framePr w:hSpace="45" w:wrap="around" w:vAnchor="text" w:hAnchor="text"/>
                  </w:pPr>
                  <w:r>
                    <w:t> </w:t>
                  </w:r>
                </w:p>
              </w:tc>
            </w:tr>
          </w:tbl>
          <w:p w:rsidR="00000000" w:rsidRDefault="00012F9E">
            <w:pPr>
              <w:rPr>
                <w:rFonts w:eastAsia="Times New Roman"/>
                <w:vanish/>
              </w:rPr>
            </w:pPr>
          </w:p>
          <w:p w:rsidR="00000000" w:rsidRDefault="00012F9E">
            <w:pPr>
              <w:rPr>
                <w:rFonts w:eastAsia="Times New Roman"/>
              </w:rPr>
            </w:pPr>
          </w:p>
        </w:tc>
      </w:tr>
      <w:tr w:rsidR="00000000" w:rsidTr="00012F9E">
        <w:trPr>
          <w:tblCellSpacing w:w="15" w:type="dxa"/>
        </w:trPr>
        <w:tc>
          <w:tcPr>
            <w:tcW w:w="4967" w:type="pct"/>
            <w:gridSpan w:val="2"/>
            <w:vAlign w:val="center"/>
            <w:hideMark/>
          </w:tcPr>
          <w:p w:rsidR="00000000" w:rsidRDefault="00012F9E">
            <w:pPr>
              <w:rPr>
                <w:rFonts w:eastAsia="Times New Roman"/>
              </w:rPr>
            </w:pP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17.19</w:t>
            </w:r>
          </w:p>
        </w:tc>
        <w:tc>
          <w:tcPr>
            <w:tcW w:w="3963" w:type="pct"/>
            <w:hideMark/>
          </w:tcPr>
          <w:p w:rsidR="00000000" w:rsidRDefault="00012F9E">
            <w:pPr>
              <w:rPr>
                <w:rFonts w:eastAsia="Times New Roman"/>
              </w:rPr>
            </w:pPr>
            <w:r>
              <w:rPr>
                <w:rFonts w:eastAsia="Times New Roman"/>
                <w:b/>
                <w:bCs/>
                <w:i/>
                <w:iCs/>
              </w:rPr>
              <w:t>Capital Expenditure Report for the Period Ended 30 April 2019</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Total expenditure against the annual budget of £1,566k for 2018/2019 amounted to £746k at 30 April 2019. at the Governors briefing on 28 February it was agreed that Management would seek to defer capital expenditure in the current year to preserve</w:t>
            </w:r>
            <w:r>
              <w:rPr>
                <w:rFonts w:eastAsia="Times New Roman"/>
              </w:rPr>
              <w:t xml:space="preserve"> cash balances. This accounted for the current variances in expenditure.</w:t>
            </w:r>
            <w:r>
              <w:rPr>
                <w:rFonts w:eastAsia="Times New Roman"/>
              </w:rPr>
              <w:br w:type="page"/>
            </w:r>
            <w:r>
              <w:rPr>
                <w:rFonts w:eastAsia="Times New Roman"/>
              </w:rPr>
              <w:br w:type="page"/>
              <w:t>The Deputy Principal, Resources, outlined his investigations into vehicle leasing/purchase/hire and that it had become more cost effective to purchase vehicles at the present time. I</w:t>
            </w:r>
            <w:r>
              <w:rPr>
                <w:rFonts w:eastAsia="Times New Roman"/>
              </w:rPr>
              <w:t>n addition, a review of requirements indicated the need for 6 additional vehicles. It was therefore anticipated that the allocation for vehicle replacement would be fully utilised this year.</w:t>
            </w:r>
          </w:p>
          <w:p w:rsidR="002279F1" w:rsidRDefault="002279F1">
            <w:pPr>
              <w:rPr>
                <w:rFonts w:eastAsia="Times New Roman"/>
              </w:rPr>
            </w:pPr>
          </w:p>
          <w:p w:rsidR="002279F1" w:rsidRDefault="00012F9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2279F1" w:rsidRDefault="002279F1">
            <w:pPr>
              <w:rPr>
                <w:rStyle w:val="Strong"/>
              </w:rPr>
            </w:pPr>
          </w:p>
          <w:p w:rsidR="00000000" w:rsidRDefault="00012F9E">
            <w:pPr>
              <w:rPr>
                <w:rFonts w:eastAsia="Times New Roman"/>
              </w:rPr>
            </w:pPr>
            <w:r>
              <w:rPr>
                <w:rStyle w:val="Strong"/>
                <w:rFonts w:eastAsia="Times New Roman"/>
              </w:rPr>
              <w:t>That the report on Capital Expenditure for the period ended 30 April 2019 be received.</w:t>
            </w:r>
            <w:r>
              <w:rPr>
                <w:rFonts w:eastAsia="Times New Roman"/>
                <w:b/>
                <w:bCs/>
              </w:rPr>
              <w:br w:type="page"/>
            </w:r>
            <w:r>
              <w:rPr>
                <w:rFonts w:eastAsia="Times New Roman"/>
                <w:b/>
                <w:bCs/>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lastRenderedPageBreak/>
              <w:t>18.19</w:t>
            </w:r>
          </w:p>
        </w:tc>
        <w:tc>
          <w:tcPr>
            <w:tcW w:w="3963" w:type="pct"/>
            <w:hideMark/>
          </w:tcPr>
          <w:p w:rsidR="00000000" w:rsidRDefault="00012F9E">
            <w:pPr>
              <w:rPr>
                <w:rFonts w:eastAsia="Times New Roman"/>
              </w:rPr>
            </w:pPr>
            <w:r>
              <w:rPr>
                <w:rFonts w:eastAsia="Times New Roman"/>
                <w:b/>
                <w:bCs/>
                <w:i/>
                <w:iCs/>
              </w:rPr>
              <w:t>Education &amp; Skills Funding Agency</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Members considered a letter from the Education and Skills Funding Agency, which confirmed Financial Health for Myerscough College as 'Good'.</w:t>
            </w:r>
            <w:r>
              <w:rPr>
                <w:rFonts w:eastAsia="Times New Roman"/>
              </w:rPr>
              <w:br w:type="page"/>
            </w:r>
            <w:r>
              <w:rPr>
                <w:rFonts w:eastAsia="Times New Roman"/>
              </w:rPr>
              <w:br w:type="page"/>
              <w:t>The letter also included a financial dashboard compiled from the information that Myerscough and other colleges su</w:t>
            </w:r>
            <w:r>
              <w:rPr>
                <w:rFonts w:eastAsia="Times New Roman"/>
              </w:rPr>
              <w:t>bmitted. This incorporated various key performance indicators and measures against both target benchmarks and benchmarks achieved in the sector. </w:t>
            </w:r>
          </w:p>
          <w:p w:rsidR="002279F1" w:rsidRDefault="002279F1">
            <w:pPr>
              <w:rPr>
                <w:rFonts w:eastAsia="Times New Roman"/>
              </w:rPr>
            </w:pPr>
          </w:p>
          <w:p w:rsidR="002279F1" w:rsidRDefault="00012F9E">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2279F1" w:rsidRDefault="002279F1">
            <w:pPr>
              <w:rPr>
                <w:rStyle w:val="Strong"/>
              </w:rPr>
            </w:pPr>
          </w:p>
          <w:p w:rsidR="00000000" w:rsidRDefault="00012F9E">
            <w:pPr>
              <w:rPr>
                <w:rFonts w:eastAsia="Times New Roman"/>
              </w:rPr>
            </w:pPr>
            <w:r>
              <w:rPr>
                <w:rStyle w:val="Strong"/>
                <w:rFonts w:eastAsia="Times New Roman"/>
              </w:rPr>
              <w:t>That the EFA report on the Financial Health of Myerscough College be noted. </w:t>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19.19</w:t>
            </w:r>
          </w:p>
        </w:tc>
        <w:tc>
          <w:tcPr>
            <w:tcW w:w="3963" w:type="pct"/>
            <w:hideMark/>
          </w:tcPr>
          <w:p w:rsidR="00000000" w:rsidRDefault="00012F9E">
            <w:pPr>
              <w:rPr>
                <w:rFonts w:eastAsia="Times New Roman"/>
              </w:rPr>
            </w:pPr>
            <w:r>
              <w:rPr>
                <w:rFonts w:eastAsia="Times New Roman"/>
                <w:b/>
                <w:bCs/>
                <w:i/>
                <w:iCs/>
              </w:rPr>
              <w:t>College Fu</w:t>
            </w:r>
            <w:r>
              <w:rPr>
                <w:rFonts w:eastAsia="Times New Roman"/>
                <w:b/>
                <w:bCs/>
                <w:i/>
                <w:iCs/>
              </w:rPr>
              <w:t>nding 2019/2020</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 xml:space="preserve">Finance &amp; Resources Committee </w:t>
            </w:r>
            <w:proofErr w:type="gramStart"/>
            <w:r>
              <w:rPr>
                <w:rFonts w:eastAsia="Times New Roman"/>
              </w:rPr>
              <w:t>gave consideration to</w:t>
            </w:r>
            <w:proofErr w:type="gramEnd"/>
            <w:r>
              <w:rPr>
                <w:rFonts w:eastAsia="Times New Roman"/>
              </w:rPr>
              <w:t xml:space="preserve"> the updated report on the current situation with regard to funding for 2019/2020 which had been considered at the last meeting in March.</w:t>
            </w:r>
            <w:r>
              <w:rPr>
                <w:rFonts w:eastAsia="Times New Roman"/>
              </w:rPr>
              <w:br w:type="page"/>
            </w:r>
            <w:r>
              <w:rPr>
                <w:rFonts w:eastAsia="Times New Roman"/>
              </w:rPr>
              <w:br w:type="page"/>
              <w:t>Members noted that the original decrease</w:t>
            </w:r>
            <w:r>
              <w:rPr>
                <w:rFonts w:eastAsia="Times New Roman"/>
              </w:rPr>
              <w:t xml:space="preserve"> in funding of £116,928k, relating to High Needs Funding Allocations had, on appeal, been increased by £356,476k with the total allocation for 2019/2020 now being £11,289,980k. This included High Needs Funding but excluded bursaries, which was £239,548 hig</w:t>
            </w:r>
            <w:r>
              <w:rPr>
                <w:rFonts w:eastAsia="Times New Roman"/>
              </w:rPr>
              <w:t>her than the current year funding.</w:t>
            </w:r>
            <w:r>
              <w:rPr>
                <w:rFonts w:eastAsia="Times New Roman"/>
              </w:rPr>
              <w:br w:type="page"/>
            </w:r>
            <w:r>
              <w:rPr>
                <w:rFonts w:eastAsia="Times New Roman"/>
              </w:rPr>
              <w:br w:type="page"/>
              <w:t>The report included a detailed breakdown of the revised allocation compared to the current year's funding.</w:t>
            </w:r>
            <w:r>
              <w:rPr>
                <w:rFonts w:eastAsia="Times New Roman"/>
              </w:rPr>
              <w:br w:type="page"/>
            </w:r>
            <w:r>
              <w:rPr>
                <w:rFonts w:eastAsia="Times New Roman"/>
              </w:rPr>
              <w:br w:type="page"/>
              <w:t xml:space="preserve">In response to questions Members noted the College course mix did have an effect on income as some courses, </w:t>
            </w:r>
            <w:proofErr w:type="spellStart"/>
            <w:r>
              <w:rPr>
                <w:rFonts w:eastAsia="Times New Roman"/>
              </w:rPr>
              <w:t>eg</w:t>
            </w:r>
            <w:proofErr w:type="spellEnd"/>
            <w:r>
              <w:rPr>
                <w:rFonts w:eastAsia="Times New Roman"/>
              </w:rPr>
              <w:t xml:space="preserve"> A</w:t>
            </w:r>
            <w:r>
              <w:rPr>
                <w:rFonts w:eastAsia="Times New Roman"/>
              </w:rPr>
              <w:t>griculture and Equine had higher cost weightings.</w:t>
            </w:r>
            <w:r>
              <w:rPr>
                <w:rFonts w:eastAsia="Times New Roman"/>
              </w:rPr>
              <w:br w:type="page"/>
            </w:r>
            <w:r>
              <w:rPr>
                <w:rFonts w:eastAsia="Times New Roman"/>
              </w:rPr>
              <w:br w:type="page"/>
            </w:r>
          </w:p>
          <w:p w:rsidR="002279F1" w:rsidRDefault="002279F1">
            <w:pPr>
              <w:rPr>
                <w:rStyle w:val="Strong"/>
              </w:rPr>
            </w:pPr>
          </w:p>
          <w:p w:rsidR="002279F1" w:rsidRDefault="00012F9E">
            <w:pPr>
              <w:rPr>
                <w:rFonts w:eastAsia="Times New Roman"/>
                <w:b/>
                <w:bCs/>
              </w:rPr>
            </w:pPr>
            <w:r>
              <w:rPr>
                <w:rStyle w:val="Strong"/>
                <w:rFonts w:eastAsia="Times New Roman"/>
              </w:rPr>
              <w:t>Resolved:</w:t>
            </w:r>
            <w:r>
              <w:rPr>
                <w:rFonts w:eastAsia="Times New Roman"/>
              </w:rPr>
              <w:br w:type="page"/>
            </w:r>
            <w:r>
              <w:rPr>
                <w:rFonts w:eastAsia="Times New Roman"/>
                <w:b/>
                <w:bCs/>
              </w:rPr>
              <w:br w:type="page"/>
            </w:r>
          </w:p>
          <w:p w:rsidR="002279F1" w:rsidRDefault="002279F1">
            <w:pPr>
              <w:rPr>
                <w:rStyle w:val="Strong"/>
              </w:rPr>
            </w:pPr>
          </w:p>
          <w:p w:rsidR="00000000" w:rsidRDefault="00012F9E">
            <w:pPr>
              <w:rPr>
                <w:rFonts w:eastAsia="Times New Roman"/>
              </w:rPr>
            </w:pPr>
            <w:r>
              <w:rPr>
                <w:rStyle w:val="Strong"/>
                <w:rFonts w:eastAsia="Times New Roman"/>
              </w:rPr>
              <w:t>That the FE funding Report be received and the funding allocation for 2019/20 be noted.</w:t>
            </w:r>
            <w:r>
              <w:rPr>
                <w:rFonts w:eastAsia="Times New Roman"/>
              </w:rPr>
              <w:br w:type="page"/>
            </w:r>
            <w:r>
              <w:rPr>
                <w:rFonts w:eastAsia="Times New Roman"/>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20.19</w:t>
            </w:r>
          </w:p>
        </w:tc>
        <w:tc>
          <w:tcPr>
            <w:tcW w:w="3963" w:type="pct"/>
            <w:hideMark/>
          </w:tcPr>
          <w:p w:rsidR="00000000" w:rsidRDefault="00012F9E">
            <w:pPr>
              <w:rPr>
                <w:rFonts w:eastAsia="Times New Roman"/>
              </w:rPr>
            </w:pPr>
            <w:r>
              <w:rPr>
                <w:rFonts w:eastAsia="Times New Roman"/>
                <w:b/>
                <w:bCs/>
                <w:i/>
                <w:iCs/>
              </w:rPr>
              <w:t>HE Tuition Fees 2020/2021</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 xml:space="preserve">Finance &amp; Resources Committee </w:t>
            </w:r>
            <w:proofErr w:type="gramStart"/>
            <w:r>
              <w:rPr>
                <w:rFonts w:eastAsia="Times New Roman"/>
              </w:rPr>
              <w:t>gave consideration to</w:t>
            </w:r>
            <w:proofErr w:type="gramEnd"/>
            <w:r>
              <w:rPr>
                <w:rFonts w:eastAsia="Times New Roman"/>
              </w:rPr>
              <w:t xml:space="preserve"> the p</w:t>
            </w:r>
            <w:r>
              <w:rPr>
                <w:rFonts w:eastAsia="Times New Roman"/>
              </w:rPr>
              <w:t>roposed Higher Education Tuition Fees for 2020/2021. To ensure compliance Myerscough was required to work with UCLAN to agree the fee structure for new entrants in 2019/20 as part of the Access Agreement and also in line with the requirements of the Office</w:t>
            </w:r>
            <w:r>
              <w:rPr>
                <w:rFonts w:eastAsia="Times New Roman"/>
              </w:rPr>
              <w:t xml:space="preserve"> for Students.</w:t>
            </w:r>
            <w:r>
              <w:rPr>
                <w:rFonts w:eastAsia="Times New Roman"/>
              </w:rPr>
              <w:br w:type="page"/>
            </w:r>
            <w:r>
              <w:rPr>
                <w:rFonts w:eastAsia="Times New Roman"/>
              </w:rPr>
              <w:br w:type="page"/>
              <w:t xml:space="preserve">The recent </w:t>
            </w:r>
            <w:proofErr w:type="spellStart"/>
            <w:r>
              <w:rPr>
                <w:rFonts w:eastAsia="Times New Roman"/>
              </w:rPr>
              <w:t>Augar</w:t>
            </w:r>
            <w:proofErr w:type="spellEnd"/>
            <w:r>
              <w:rPr>
                <w:rFonts w:eastAsia="Times New Roman"/>
              </w:rPr>
              <w:t xml:space="preserve"> Review had recommended a fee cap of £7,500 from 2021/2022. This would prove a significant risk to the College and the current recommendations based on the existing fee cap of £9250 for full time students.</w:t>
            </w:r>
            <w:r>
              <w:rPr>
                <w:rFonts w:eastAsia="Times New Roman"/>
              </w:rPr>
              <w:br w:type="page"/>
            </w:r>
            <w:r>
              <w:rPr>
                <w:rFonts w:eastAsia="Times New Roman"/>
              </w:rPr>
              <w:br w:type="page"/>
              <w:t>The report includ</w:t>
            </w:r>
            <w:r>
              <w:rPr>
                <w:rFonts w:eastAsia="Times New Roman"/>
              </w:rPr>
              <w:t>ed summary of the fees including part time and international students.</w:t>
            </w:r>
          </w:p>
          <w:p w:rsidR="002279F1" w:rsidRDefault="002279F1">
            <w:pPr>
              <w:rPr>
                <w:rFonts w:eastAsia="Times New Roman"/>
              </w:rPr>
            </w:pPr>
          </w:p>
          <w:p w:rsidR="002279F1" w:rsidRDefault="00012F9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2279F1" w:rsidRDefault="002279F1">
            <w:pPr>
              <w:rPr>
                <w:rStyle w:val="Strong"/>
              </w:rPr>
            </w:pPr>
          </w:p>
          <w:p w:rsidR="00000000" w:rsidRDefault="00012F9E">
            <w:pPr>
              <w:rPr>
                <w:rFonts w:eastAsia="Times New Roman"/>
              </w:rPr>
            </w:pPr>
            <w:r>
              <w:rPr>
                <w:rStyle w:val="Strong"/>
                <w:rFonts w:eastAsia="Times New Roman"/>
              </w:rPr>
              <w:t>That the HE tuition Fees be submitted to Corporation for approval.</w:t>
            </w:r>
            <w:r>
              <w:rPr>
                <w:rFonts w:eastAsia="Times New Roman"/>
                <w:b/>
                <w:bCs/>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lastRenderedPageBreak/>
              <w:t>21.19</w:t>
            </w:r>
          </w:p>
        </w:tc>
        <w:tc>
          <w:tcPr>
            <w:tcW w:w="3963" w:type="pct"/>
            <w:hideMark/>
          </w:tcPr>
          <w:p w:rsidR="00000000" w:rsidRDefault="00012F9E">
            <w:pPr>
              <w:rPr>
                <w:rFonts w:eastAsia="Times New Roman"/>
              </w:rPr>
            </w:pPr>
            <w:r>
              <w:rPr>
                <w:rFonts w:eastAsia="Times New Roman"/>
                <w:b/>
                <w:bCs/>
                <w:i/>
                <w:iCs/>
              </w:rPr>
              <w:t>Statutory Risk Register</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 xml:space="preserve">Finance &amp; </w:t>
            </w:r>
            <w:r>
              <w:rPr>
                <w:rFonts w:eastAsia="Times New Roman"/>
              </w:rPr>
              <w:t xml:space="preserve">Resources Committee </w:t>
            </w:r>
            <w:proofErr w:type="gramStart"/>
            <w:r>
              <w:rPr>
                <w:rFonts w:eastAsia="Times New Roman"/>
              </w:rPr>
              <w:t>gave consideration to</w:t>
            </w:r>
            <w:proofErr w:type="gramEnd"/>
            <w:r>
              <w:rPr>
                <w:rFonts w:eastAsia="Times New Roman"/>
              </w:rPr>
              <w:t xml:space="preserve"> those elements of the Statutory Risk Register applicable to the Committee. Changes were highlighted which included one risk reduced and two increased. No new risk had been added.</w:t>
            </w:r>
            <w:r>
              <w:rPr>
                <w:rFonts w:eastAsia="Times New Roman"/>
              </w:rPr>
              <w:br w:type="page"/>
            </w:r>
            <w:r>
              <w:rPr>
                <w:rFonts w:eastAsia="Times New Roman"/>
              </w:rPr>
              <w:br w:type="page"/>
            </w:r>
          </w:p>
          <w:p w:rsidR="002279F1" w:rsidRDefault="00012F9E">
            <w:pPr>
              <w:rPr>
                <w:rFonts w:eastAsia="Times New Roman"/>
              </w:rPr>
            </w:pPr>
            <w:r>
              <w:rPr>
                <w:rStyle w:val="Strong"/>
                <w:rFonts w:eastAsia="Times New Roman"/>
              </w:rPr>
              <w:t xml:space="preserve">Risk 3c - </w:t>
            </w:r>
            <w:r>
              <w:rPr>
                <w:rStyle w:val="Emphasis"/>
                <w:rFonts w:eastAsia="Times New Roman"/>
              </w:rPr>
              <w:t>Failure to maintain/incr</w:t>
            </w:r>
            <w:r>
              <w:rPr>
                <w:rStyle w:val="Emphasis"/>
                <w:rFonts w:eastAsia="Times New Roman"/>
              </w:rPr>
              <w:t xml:space="preserve">ease ESFA Allocations - </w:t>
            </w:r>
            <w:r>
              <w:rPr>
                <w:rFonts w:eastAsia="Times New Roman"/>
              </w:rPr>
              <w:t>this had reduced from 16 (high) to 15 (high) following the recent appeal. </w:t>
            </w:r>
          </w:p>
          <w:p w:rsidR="00000000" w:rsidRDefault="00012F9E">
            <w:pPr>
              <w:rPr>
                <w:rFonts w:eastAsia="Times New Roman"/>
              </w:rPr>
            </w:pPr>
            <w:r>
              <w:rPr>
                <w:rFonts w:eastAsia="Times New Roman"/>
              </w:rPr>
              <w:br w:type="page"/>
            </w:r>
            <w:r>
              <w:rPr>
                <w:rFonts w:eastAsia="Times New Roman"/>
              </w:rPr>
              <w:br w:type="page"/>
            </w:r>
            <w:r>
              <w:rPr>
                <w:rStyle w:val="Strong"/>
                <w:rFonts w:eastAsia="Times New Roman"/>
              </w:rPr>
              <w:t>Risk 3d -</w:t>
            </w:r>
            <w:r>
              <w:rPr>
                <w:rStyle w:val="Emphasis"/>
                <w:rFonts w:eastAsia="Times New Roman"/>
              </w:rPr>
              <w:t xml:space="preserve"> Ensuring accuracy of student data which drive funding -</w:t>
            </w:r>
            <w:r>
              <w:rPr>
                <w:rStyle w:val="Strong"/>
                <w:rFonts w:eastAsia="Times New Roman"/>
              </w:rPr>
              <w:t> </w:t>
            </w:r>
            <w:r>
              <w:rPr>
                <w:rFonts w:eastAsia="Times New Roman"/>
              </w:rPr>
              <w:t>increased from 6 (low) to 8 (moderate) following the data error last year resulting in the</w:t>
            </w:r>
            <w:r>
              <w:rPr>
                <w:rFonts w:eastAsia="Times New Roman"/>
              </w:rPr>
              <w:t xml:space="preserve"> High Need Funding reduction overturned on appeal.</w:t>
            </w:r>
            <w:r>
              <w:rPr>
                <w:rFonts w:eastAsia="Times New Roman"/>
              </w:rPr>
              <w:br w:type="page"/>
            </w:r>
          </w:p>
          <w:p w:rsidR="002279F1" w:rsidRDefault="00012F9E" w:rsidP="002279F1">
            <w:pPr>
              <w:divId w:val="799566608"/>
              <w:rPr>
                <w:rFonts w:eastAsia="Times New Roman"/>
              </w:rPr>
            </w:pPr>
            <w:r>
              <w:rPr>
                <w:rStyle w:val="Strong"/>
                <w:rFonts w:eastAsia="Times New Roman"/>
              </w:rPr>
              <w:t>Risk 3j -</w:t>
            </w:r>
            <w:r>
              <w:rPr>
                <w:rStyle w:val="Emphasis"/>
                <w:rFonts w:eastAsia="Times New Roman"/>
              </w:rPr>
              <w:t xml:space="preserve"> Impact of further Government cuts and/or continuing freeze in funding levels for FE programmes -</w:t>
            </w:r>
            <w:r>
              <w:rPr>
                <w:rFonts w:eastAsia="Times New Roman"/>
              </w:rPr>
              <w:t xml:space="preserve"> Residual risk increased from 9 (moderate) to 15 (high) based on current delay in the Government</w:t>
            </w:r>
            <w:r>
              <w:rPr>
                <w:rFonts w:eastAsia="Times New Roman"/>
              </w:rPr>
              <w:t>'s Comprehensive Spending Review.</w:t>
            </w:r>
          </w:p>
          <w:p w:rsidR="002279F1" w:rsidRDefault="002279F1" w:rsidP="002279F1">
            <w:pPr>
              <w:divId w:val="799566608"/>
              <w:rPr>
                <w:rFonts w:eastAsia="Times New Roman"/>
              </w:rPr>
            </w:pPr>
          </w:p>
          <w:p w:rsidR="002279F1" w:rsidRDefault="00012F9E" w:rsidP="002279F1">
            <w:pPr>
              <w:divId w:val="799566608"/>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2279F1" w:rsidRDefault="002279F1" w:rsidP="002279F1">
            <w:pPr>
              <w:divId w:val="799566608"/>
              <w:rPr>
                <w:rFonts w:eastAsia="Times New Roman"/>
              </w:rPr>
            </w:pPr>
          </w:p>
          <w:p w:rsidR="00000000" w:rsidRDefault="00012F9E" w:rsidP="002279F1">
            <w:pPr>
              <w:divId w:val="799566608"/>
              <w:rPr>
                <w:rFonts w:eastAsia="Times New Roman"/>
              </w:rPr>
            </w:pPr>
            <w:r>
              <w:rPr>
                <w:rFonts w:eastAsia="Times New Roman"/>
              </w:rPr>
              <w:br w:type="page"/>
            </w:r>
            <w:r>
              <w:rPr>
                <w:rFonts w:eastAsia="Times New Roman"/>
              </w:rPr>
              <w:br w:type="page"/>
            </w:r>
            <w:r>
              <w:rPr>
                <w:rStyle w:val="Strong"/>
                <w:rFonts w:eastAsia="Times New Roman"/>
              </w:rPr>
              <w:t>That the Risk Registers relevant to the Finance &amp; Resources Committee and associated actions be agreed.</w:t>
            </w:r>
            <w:r>
              <w:rPr>
                <w:rFonts w:eastAsia="Times New Roman"/>
              </w:rPr>
              <w:br w:type="page"/>
            </w:r>
            <w:r>
              <w:rPr>
                <w:rFonts w:eastAsia="Times New Roman"/>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22.19</w:t>
            </w:r>
          </w:p>
        </w:tc>
        <w:tc>
          <w:tcPr>
            <w:tcW w:w="3963" w:type="pct"/>
            <w:hideMark/>
          </w:tcPr>
          <w:p w:rsidR="00000000" w:rsidRDefault="00012F9E">
            <w:pPr>
              <w:rPr>
                <w:rFonts w:eastAsia="Times New Roman"/>
              </w:rPr>
            </w:pPr>
            <w:r>
              <w:rPr>
                <w:rFonts w:eastAsia="Times New Roman"/>
                <w:b/>
                <w:bCs/>
                <w:i/>
                <w:iCs/>
              </w:rPr>
              <w:t>Student Bursary Fund Allocations 2019/2020</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2279F1" w:rsidRDefault="00012F9E">
            <w:pPr>
              <w:rPr>
                <w:rFonts w:eastAsia="Times New Roman"/>
              </w:rPr>
            </w:pPr>
            <w:r>
              <w:rPr>
                <w:rFonts w:eastAsia="Times New Roman"/>
              </w:rPr>
              <w:t>Finance &amp; Resources Committee gave consi</w:t>
            </w:r>
            <w:r>
              <w:rPr>
                <w:rFonts w:eastAsia="Times New Roman"/>
              </w:rPr>
              <w:t>deration to the Student Bursary Fund Allocations for the academic year 2019/20 and the revised FE and HE Student Bursary Policies.</w:t>
            </w:r>
            <w:r>
              <w:rPr>
                <w:rFonts w:eastAsia="Times New Roman"/>
              </w:rPr>
              <w:br w:type="page"/>
            </w:r>
            <w:r>
              <w:rPr>
                <w:rFonts w:eastAsia="Times New Roman"/>
              </w:rPr>
              <w:br w:type="page"/>
              <w:t>Action had been taken to ensure the current year allocation had been fully committed to ensure similar funding in future yea</w:t>
            </w:r>
            <w:r>
              <w:rPr>
                <w:rFonts w:eastAsia="Times New Roman"/>
              </w:rPr>
              <w:t>rs.</w:t>
            </w:r>
            <w:r>
              <w:rPr>
                <w:rFonts w:eastAsia="Times New Roman"/>
              </w:rPr>
              <w:br w:type="page"/>
            </w:r>
            <w:r>
              <w:rPr>
                <w:rFonts w:eastAsia="Times New Roman"/>
              </w:rPr>
              <w:br w:type="page"/>
              <w:t>Bursary funding received from the ESFA for 2019/2020 had reduced by £23,978 to £795,981 (from the previous year's allocation of £817,063).</w:t>
            </w:r>
            <w:r>
              <w:rPr>
                <w:rFonts w:eastAsia="Times New Roman"/>
              </w:rPr>
              <w:br w:type="page"/>
            </w:r>
            <w:r>
              <w:rPr>
                <w:rFonts w:eastAsia="Times New Roman"/>
              </w:rPr>
              <w:br w:type="page"/>
              <w:t>Both the FE and HE Bursary Policies had been reviewed and the only recommended change was to increase the thres</w:t>
            </w:r>
            <w:r>
              <w:rPr>
                <w:rFonts w:eastAsia="Times New Roman"/>
              </w:rPr>
              <w:t>hold for household income from £30,000 to £35,000, the former having remained unchanged for over 15 years. </w:t>
            </w:r>
            <w:r>
              <w:rPr>
                <w:rFonts w:eastAsia="Times New Roman"/>
              </w:rPr>
              <w:br w:type="page"/>
            </w:r>
            <w:r>
              <w:rPr>
                <w:rFonts w:eastAsia="Times New Roman"/>
              </w:rPr>
              <w:br w:type="page"/>
            </w:r>
          </w:p>
          <w:p w:rsidR="002279F1" w:rsidRDefault="002279F1">
            <w:pPr>
              <w:rPr>
                <w:rStyle w:val="Strong"/>
              </w:rPr>
            </w:pPr>
          </w:p>
          <w:p w:rsidR="002279F1" w:rsidRDefault="00012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2279F1" w:rsidRDefault="002279F1">
            <w:pPr>
              <w:rPr>
                <w:rStyle w:val="Strong"/>
              </w:rPr>
            </w:pPr>
          </w:p>
          <w:p w:rsidR="002279F1" w:rsidRDefault="00012F9E">
            <w:pPr>
              <w:rPr>
                <w:rFonts w:eastAsia="Times New Roman"/>
                <w:b/>
                <w:bCs/>
              </w:rPr>
            </w:pPr>
            <w:r>
              <w:rPr>
                <w:rStyle w:val="Strong"/>
                <w:rFonts w:eastAsia="Times New Roman"/>
              </w:rPr>
              <w:t>1. That the Student Bursary Fund Allocations for 2019/2020 be agreed.</w:t>
            </w:r>
            <w:r>
              <w:rPr>
                <w:rFonts w:eastAsia="Times New Roman"/>
                <w:b/>
                <w:bCs/>
              </w:rPr>
              <w:br w:type="page"/>
            </w:r>
            <w:r>
              <w:rPr>
                <w:rFonts w:eastAsia="Times New Roman"/>
                <w:b/>
                <w:bCs/>
              </w:rPr>
              <w:br w:type="page"/>
            </w:r>
          </w:p>
          <w:p w:rsidR="002279F1" w:rsidRDefault="002279F1">
            <w:pPr>
              <w:rPr>
                <w:rStyle w:val="Strong"/>
              </w:rPr>
            </w:pPr>
          </w:p>
          <w:p w:rsidR="00000000" w:rsidRDefault="00012F9E">
            <w:pPr>
              <w:rPr>
                <w:rFonts w:eastAsia="Times New Roman"/>
              </w:rPr>
            </w:pPr>
            <w:r>
              <w:rPr>
                <w:rStyle w:val="Strong"/>
                <w:rFonts w:eastAsia="Times New Roman"/>
              </w:rPr>
              <w:t>2.That the revised FE and HE Student Bursary Policies be approved</w:t>
            </w:r>
            <w:r>
              <w:rPr>
                <w:rStyle w:val="Strong"/>
                <w:rFonts w:eastAsia="Times New Roman"/>
              </w:rPr>
              <w:t>.</w:t>
            </w:r>
            <w:r>
              <w:rPr>
                <w:rFonts w:eastAsia="Times New Roman"/>
                <w:b/>
                <w:bCs/>
              </w:rPr>
              <w:br w:type="page"/>
            </w:r>
            <w:r>
              <w:rPr>
                <w:rStyle w:val="Strong"/>
                <w:rFonts w:eastAsia="Times New Roman"/>
              </w:rPr>
              <w:t> </w:t>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23.19</w:t>
            </w:r>
          </w:p>
        </w:tc>
        <w:tc>
          <w:tcPr>
            <w:tcW w:w="3963" w:type="pct"/>
            <w:hideMark/>
          </w:tcPr>
          <w:p w:rsidR="00000000" w:rsidRDefault="00012F9E">
            <w:pPr>
              <w:rPr>
                <w:rFonts w:eastAsia="Times New Roman"/>
              </w:rPr>
            </w:pPr>
            <w:r>
              <w:rPr>
                <w:rFonts w:eastAsia="Times New Roman"/>
                <w:b/>
                <w:bCs/>
                <w:i/>
                <w:iCs/>
              </w:rPr>
              <w:t>FE Commissioner Letter</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000000" w:rsidRDefault="00012F9E">
            <w:pPr>
              <w:rPr>
                <w:rFonts w:eastAsia="Times New Roman"/>
              </w:rPr>
            </w:pPr>
            <w:r>
              <w:rPr>
                <w:rFonts w:eastAsia="Times New Roman"/>
              </w:rPr>
              <w:t>The Finance and Resources Committee considered a letter, addressed to the Chair and Principals of FE Colleges, which covered a number of issues.</w:t>
            </w:r>
            <w:r>
              <w:rPr>
                <w:rFonts w:eastAsia="Times New Roman"/>
              </w:rPr>
              <w:br w:type="page"/>
            </w:r>
            <w:r>
              <w:rPr>
                <w:rFonts w:eastAsia="Times New Roman"/>
              </w:rPr>
              <w:br w:type="page"/>
            </w:r>
            <w:r>
              <w:rPr>
                <w:rFonts w:eastAsia="Times New Roman"/>
              </w:rPr>
              <w:t>However, one element of the letter indicated that all FE Colleges should have at least two financially qualified members on their Board. The letter had also been considered by the Audit and Governance Committee at their meeting on 18 June 2019.</w:t>
            </w:r>
            <w:r>
              <w:rPr>
                <w:rFonts w:eastAsia="Times New Roman"/>
              </w:rPr>
              <w:br w:type="page"/>
            </w:r>
            <w:r>
              <w:rPr>
                <w:rFonts w:eastAsia="Times New Roman"/>
              </w:rPr>
              <w:br w:type="page"/>
              <w:t>Whilst the</w:t>
            </w:r>
            <w:r>
              <w:rPr>
                <w:rFonts w:eastAsia="Times New Roman"/>
              </w:rPr>
              <w:t xml:space="preserve"> Corporation currently complied with the guidance this would reduce to just one qualified Governor following the resignation of the Chair of Audit and </w:t>
            </w:r>
            <w:r>
              <w:rPr>
                <w:rFonts w:eastAsia="Times New Roman"/>
              </w:rPr>
              <w:lastRenderedPageBreak/>
              <w:t>Governance Committee on 31 July 2019.</w:t>
            </w:r>
            <w:r>
              <w:rPr>
                <w:rFonts w:eastAsia="Times New Roman"/>
              </w:rPr>
              <w:br w:type="page"/>
            </w:r>
            <w:r>
              <w:rPr>
                <w:rFonts w:eastAsia="Times New Roman"/>
              </w:rPr>
              <w:br w:type="page"/>
              <w:t>Officers reported on initiatives to seek a suitable replacement Go</w:t>
            </w:r>
            <w:r>
              <w:rPr>
                <w:rFonts w:eastAsia="Times New Roman"/>
              </w:rPr>
              <w:t>vernor.</w:t>
            </w: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r>
              <w:rPr>
                <w:rStyle w:val="Strong"/>
                <w:rFonts w:eastAsia="Times New Roman"/>
              </w:rPr>
              <w:t>That the letter be noted.</w:t>
            </w:r>
            <w:r>
              <w:rPr>
                <w:rFonts w:eastAsia="Times New Roman"/>
                <w:b/>
                <w:bCs/>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lastRenderedPageBreak/>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24.19</w:t>
            </w:r>
          </w:p>
        </w:tc>
        <w:tc>
          <w:tcPr>
            <w:tcW w:w="3963" w:type="pct"/>
            <w:hideMark/>
          </w:tcPr>
          <w:p w:rsidR="00000000" w:rsidRDefault="00012F9E">
            <w:pPr>
              <w:rPr>
                <w:rFonts w:eastAsia="Times New Roman"/>
              </w:rPr>
            </w:pPr>
            <w:r>
              <w:rPr>
                <w:rFonts w:eastAsia="Times New Roman"/>
                <w:b/>
                <w:bCs/>
                <w:i/>
                <w:iCs/>
              </w:rPr>
              <w:t>Office for Students Letter</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EB4B70" w:rsidRDefault="00012F9E">
            <w:pPr>
              <w:rPr>
                <w:rFonts w:eastAsia="Times New Roman"/>
              </w:rPr>
            </w:pPr>
            <w:r>
              <w:rPr>
                <w:rFonts w:eastAsia="Times New Roman"/>
              </w:rPr>
              <w:t>The Finance and Resources Committee considered a letter from Nicola Dandridge, Chief Executive, Office for Students, encouraging Colleges in a financially challenging environment to ensure financial viability and sustainability.</w:t>
            </w:r>
            <w:r>
              <w:rPr>
                <w:rFonts w:eastAsia="Times New Roman"/>
              </w:rPr>
              <w:br w:type="page"/>
            </w:r>
            <w:r>
              <w:rPr>
                <w:rFonts w:eastAsia="Times New Roman"/>
              </w:rPr>
              <w:br w:type="page"/>
            </w:r>
          </w:p>
          <w:p w:rsidR="00EB4B70" w:rsidRDefault="00EB4B70">
            <w:pPr>
              <w:rPr>
                <w:rStyle w:val="Strong"/>
              </w:rPr>
            </w:pPr>
          </w:p>
          <w:p w:rsidR="00EB4B70" w:rsidRDefault="00012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B4B70" w:rsidRDefault="00EB4B70">
            <w:pPr>
              <w:rPr>
                <w:rStyle w:val="Strong"/>
              </w:rPr>
            </w:pPr>
          </w:p>
          <w:p w:rsidR="00000000" w:rsidRDefault="00012F9E">
            <w:pPr>
              <w:rPr>
                <w:rFonts w:eastAsia="Times New Roman"/>
              </w:rPr>
            </w:pPr>
            <w:r>
              <w:rPr>
                <w:rStyle w:val="Strong"/>
                <w:rFonts w:eastAsia="Times New Roman"/>
              </w:rPr>
              <w:t>That the letter</w:t>
            </w:r>
            <w:r>
              <w:rPr>
                <w:rStyle w:val="Strong"/>
                <w:rFonts w:eastAsia="Times New Roman"/>
              </w:rPr>
              <w:t xml:space="preserve"> be noted.</w:t>
            </w:r>
            <w:r>
              <w:rPr>
                <w:rFonts w:eastAsia="Times New Roman"/>
              </w:rPr>
              <w:br w:type="page"/>
            </w:r>
            <w:r>
              <w:rPr>
                <w:rFonts w:eastAsia="Times New Roman"/>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25.19</w:t>
            </w:r>
          </w:p>
        </w:tc>
        <w:tc>
          <w:tcPr>
            <w:tcW w:w="3963" w:type="pct"/>
            <w:hideMark/>
          </w:tcPr>
          <w:p w:rsidR="00000000" w:rsidRDefault="00012F9E">
            <w:pPr>
              <w:rPr>
                <w:rFonts w:eastAsia="Times New Roman"/>
              </w:rPr>
            </w:pPr>
            <w:r>
              <w:rPr>
                <w:rFonts w:eastAsia="Times New Roman"/>
                <w:b/>
                <w:bCs/>
                <w:i/>
                <w:iCs/>
              </w:rPr>
              <w:t>Timetable of Meetings</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EB4B70" w:rsidRDefault="00012F9E">
            <w:pPr>
              <w:rPr>
                <w:rFonts w:eastAsia="Times New Roman"/>
              </w:rPr>
            </w:pPr>
            <w:r>
              <w:rPr>
                <w:rFonts w:eastAsia="Times New Roman"/>
              </w:rPr>
              <w:t>The Committee considered the proposed timetable of meetings for 2019/2020.</w:t>
            </w:r>
            <w:r>
              <w:rPr>
                <w:rFonts w:eastAsia="Times New Roman"/>
              </w:rPr>
              <w:br w:type="page"/>
            </w:r>
            <w:r>
              <w:rPr>
                <w:rFonts w:eastAsia="Times New Roman"/>
              </w:rPr>
              <w:br w:type="page"/>
              <w:t>The report had been considered at the Audit and Governance Committee on 18 June when it had been agreed to circulate the pro</w:t>
            </w:r>
            <w:r>
              <w:rPr>
                <w:rFonts w:eastAsia="Times New Roman"/>
              </w:rPr>
              <w:t>posals to each Committee prior to consideration by the Corporation on 16 July 2019.</w:t>
            </w:r>
            <w:r>
              <w:rPr>
                <w:rFonts w:eastAsia="Times New Roman"/>
              </w:rPr>
              <w:br w:type="page"/>
            </w:r>
            <w:r>
              <w:rPr>
                <w:rFonts w:eastAsia="Times New Roman"/>
              </w:rPr>
              <w:br w:type="page"/>
            </w:r>
          </w:p>
          <w:p w:rsidR="00EB4B70" w:rsidRDefault="00EB4B70">
            <w:pPr>
              <w:rPr>
                <w:rStyle w:val="Strong"/>
              </w:rPr>
            </w:pPr>
          </w:p>
          <w:p w:rsidR="00EB4B70" w:rsidRDefault="00012F9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B4B70" w:rsidRDefault="00EB4B70">
            <w:pPr>
              <w:rPr>
                <w:rStyle w:val="Strong"/>
              </w:rPr>
            </w:pPr>
          </w:p>
          <w:p w:rsidR="00000000" w:rsidRDefault="00012F9E">
            <w:pPr>
              <w:rPr>
                <w:rFonts w:eastAsia="Times New Roman"/>
              </w:rPr>
            </w:pPr>
            <w:r>
              <w:rPr>
                <w:rStyle w:val="Strong"/>
                <w:rFonts w:eastAsia="Times New Roman"/>
              </w:rPr>
              <w:t>That the proposed dates be noted.</w:t>
            </w:r>
            <w:r>
              <w:rPr>
                <w:rFonts w:eastAsia="Times New Roman"/>
                <w:b/>
                <w:bCs/>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26.19</w:t>
            </w:r>
          </w:p>
        </w:tc>
        <w:tc>
          <w:tcPr>
            <w:tcW w:w="3963" w:type="pct"/>
            <w:hideMark/>
          </w:tcPr>
          <w:p w:rsidR="00000000" w:rsidRDefault="00012F9E">
            <w:pPr>
              <w:rPr>
                <w:rFonts w:eastAsia="Times New Roman"/>
              </w:rPr>
            </w:pPr>
            <w:r>
              <w:rPr>
                <w:rFonts w:eastAsia="Times New Roman"/>
                <w:b/>
                <w:bCs/>
                <w:i/>
                <w:iCs/>
              </w:rPr>
              <w:t>Human Resources Report for the Period Ended 30 April 2019</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000000" w:rsidRDefault="00012F9E">
            <w:pPr>
              <w:pStyle w:val="NormalWeb"/>
            </w:pPr>
            <w:r>
              <w:t>Consideration was given to the Human Resources</w:t>
            </w:r>
            <w:r>
              <w:t xml:space="preserve"> Statistics Report for the period ended 30 April 2019 which provided information on staff turnover, stability index and levels of staff sickness, together with areas for improvement and a report on actions taken and their impact. </w:t>
            </w:r>
          </w:p>
          <w:p w:rsidR="00000000" w:rsidRDefault="00012F9E">
            <w:pPr>
              <w:pStyle w:val="NormalWeb"/>
            </w:pPr>
            <w:r>
              <w:t>Current turnover of staff</w:t>
            </w:r>
            <w:r>
              <w:t xml:space="preserve"> was 17.47%, which was in line with the national average for north west colleges at 17.4%. The most common reason for staff leaving was recorded as salary level. It was also pointed out that some movement of staff was healthy to the organisation but turnov</w:t>
            </w:r>
            <w:r>
              <w:t>er was being monitored carefully, particularly in areas of highest risk.  </w:t>
            </w:r>
          </w:p>
          <w:p w:rsidR="00000000" w:rsidRDefault="00012F9E">
            <w:pPr>
              <w:pStyle w:val="NormalWeb"/>
            </w:pPr>
            <w:r>
              <w:t>Overall short-term sickness levels were at 2.45% against a target of &lt;3% with 7 members of staff on long term sickness against a target of &lt;6.</w:t>
            </w:r>
          </w:p>
          <w:p w:rsidR="00000000" w:rsidRDefault="00012F9E">
            <w:pPr>
              <w:pStyle w:val="NormalWeb"/>
            </w:pPr>
            <w:r>
              <w:t>The report also included details on the Gender Pay Gap published earlier in the year. The Deputy Principal, Resources, reported that the Government had recently published guidance on achieving equality in Gender Pay and informed the Committee that the Coll</w:t>
            </w:r>
            <w:r>
              <w:t>ege was initiating the majority of the guidance.</w:t>
            </w:r>
          </w:p>
          <w:p w:rsidR="00000000" w:rsidRDefault="00012F9E">
            <w:pPr>
              <w:pStyle w:val="NormalWeb"/>
            </w:pPr>
            <w:r>
              <w:rPr>
                <w:rStyle w:val="Strong"/>
              </w:rPr>
              <w:t>Resolved:</w:t>
            </w:r>
          </w:p>
          <w:p w:rsidR="00000000" w:rsidRDefault="00012F9E">
            <w:pPr>
              <w:rPr>
                <w:rFonts w:eastAsia="Times New Roman"/>
              </w:rPr>
            </w:pPr>
            <w:r>
              <w:rPr>
                <w:rStyle w:val="Strong"/>
                <w:rFonts w:eastAsia="Times New Roman"/>
              </w:rPr>
              <w:lastRenderedPageBreak/>
              <w:t>That the Human Resources Report for the period ended 30 April 2019 be received.</w:t>
            </w:r>
            <w:r>
              <w:rPr>
                <w:rFonts w:eastAsia="Times New Roman"/>
                <w:b/>
                <w:bCs/>
              </w:rPr>
              <w:br w:type="page"/>
            </w:r>
            <w:r>
              <w:rPr>
                <w:rFonts w:eastAsia="Times New Roman"/>
                <w:b/>
                <w:bCs/>
              </w:rPr>
              <w:br w:type="page"/>
            </w:r>
          </w:p>
        </w:tc>
      </w:tr>
      <w:tr w:rsidR="00000000" w:rsidTr="00012F9E">
        <w:trPr>
          <w:tblCellSpacing w:w="15" w:type="dxa"/>
        </w:trPr>
        <w:tc>
          <w:tcPr>
            <w:tcW w:w="4967" w:type="pct"/>
            <w:gridSpan w:val="2"/>
            <w:vAlign w:val="center"/>
            <w:hideMark/>
          </w:tcPr>
          <w:p w:rsidR="00000000" w:rsidRDefault="00012F9E">
            <w:pPr>
              <w:rPr>
                <w:rFonts w:eastAsia="Times New Roman"/>
              </w:rPr>
            </w:pPr>
            <w:r>
              <w:rPr>
                <w:rFonts w:eastAsia="Times New Roman"/>
              </w:rPr>
              <w:lastRenderedPageBreak/>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27.19</w:t>
            </w:r>
          </w:p>
        </w:tc>
        <w:tc>
          <w:tcPr>
            <w:tcW w:w="3963" w:type="pct"/>
            <w:hideMark/>
          </w:tcPr>
          <w:p w:rsidR="00000000" w:rsidRDefault="00012F9E">
            <w:pPr>
              <w:rPr>
                <w:rFonts w:eastAsia="Times New Roman"/>
              </w:rPr>
            </w:pPr>
            <w:r>
              <w:rPr>
                <w:rFonts w:eastAsia="Times New Roman"/>
                <w:b/>
                <w:bCs/>
                <w:i/>
                <w:iCs/>
              </w:rPr>
              <w:t>Health and Safety Report for the Period Ended 30 April 2019</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000000" w:rsidRDefault="00012F9E">
            <w:pPr>
              <w:pStyle w:val="NormalWeb"/>
            </w:pPr>
            <w:r>
              <w:t xml:space="preserve">Members </w:t>
            </w:r>
            <w:proofErr w:type="gramStart"/>
            <w:r>
              <w:t>gave consideration to</w:t>
            </w:r>
            <w:proofErr w:type="gramEnd"/>
            <w:r>
              <w:t xml:space="preserve"> the </w:t>
            </w:r>
            <w:r>
              <w:t>Health and Safety Report for the period ended 30 April 2019 which provided an analysis of accident statistics over the period together with other Health and Safety activity including policy updates, staff training, free health checks, auditing and inspecti</w:t>
            </w:r>
            <w:r>
              <w:t>ons. </w:t>
            </w:r>
          </w:p>
          <w:p w:rsidR="00000000" w:rsidRDefault="00012F9E">
            <w:pPr>
              <w:pStyle w:val="NormalWeb"/>
            </w:pPr>
            <w:r>
              <w:t>Overall accidents had decreased by 32 compared to the same period last year and four accidents were RIDDOR reportable.</w:t>
            </w:r>
            <w:r>
              <w:br w:type="page"/>
            </w:r>
            <w:r>
              <w:br w:type="page"/>
              <w:t>Analysis indicated that of the 87 accidents –</w:t>
            </w:r>
          </w:p>
          <w:p w:rsidR="00000000" w:rsidRDefault="00012F9E">
            <w:pPr>
              <w:pStyle w:val="NormalWeb"/>
            </w:pPr>
            <w:r>
              <w:t>16 (18%) were taken to hospital</w:t>
            </w:r>
          </w:p>
          <w:p w:rsidR="00000000" w:rsidRDefault="00012F9E">
            <w:pPr>
              <w:pStyle w:val="NormalWeb"/>
            </w:pPr>
            <w:r>
              <w:t>38 (44%) received first aid treatment</w:t>
            </w:r>
          </w:p>
          <w:p w:rsidR="00000000" w:rsidRDefault="00012F9E">
            <w:pPr>
              <w:pStyle w:val="NormalWeb"/>
            </w:pPr>
            <w:r>
              <w:t>33 (38%) neede</w:t>
            </w:r>
            <w:r>
              <w:t>d no treatment</w:t>
            </w:r>
          </w:p>
          <w:p w:rsidR="00000000" w:rsidRDefault="00012F9E">
            <w:pPr>
              <w:pStyle w:val="NormalWeb"/>
            </w:pPr>
            <w:r>
              <w:t>82% of accidents were either treated on site or required no treatment.</w:t>
            </w:r>
          </w:p>
          <w:p w:rsidR="00000000" w:rsidRDefault="00012F9E">
            <w:pPr>
              <w:pStyle w:val="NormalWeb"/>
            </w:pPr>
            <w:r>
              <w:t>There were four RIDDOR reportable incidents and these would also be reported to the College Insurer in future.</w:t>
            </w:r>
          </w:p>
          <w:p w:rsidR="00000000" w:rsidRDefault="00012F9E">
            <w:pPr>
              <w:pStyle w:val="NormalWeb"/>
            </w:pPr>
            <w:r>
              <w:t xml:space="preserve">The report included details of recent audits, training and </w:t>
            </w:r>
            <w:r>
              <w:t>drills.</w:t>
            </w:r>
          </w:p>
          <w:p w:rsidR="00000000" w:rsidRDefault="00012F9E">
            <w:pPr>
              <w:pStyle w:val="NormalWeb"/>
            </w:pPr>
            <w:r>
              <w:t xml:space="preserve">At the request of </w:t>
            </w:r>
            <w:proofErr w:type="gramStart"/>
            <w:r>
              <w:t>Governors</w:t>
            </w:r>
            <w:proofErr w:type="gramEnd"/>
            <w:r>
              <w:t xml:space="preserve"> the report now included details of Insurance Claims, the majority of which related to vehicle accidents.</w:t>
            </w:r>
          </w:p>
          <w:p w:rsidR="00EB4B70" w:rsidRDefault="00012F9E">
            <w:pPr>
              <w:pStyle w:val="NormalWeb"/>
            </w:pPr>
            <w:r>
              <w:t>Following questions from Governors the Deputy Principal confirmed that there were no identifiable trends relating t</w:t>
            </w:r>
            <w:r>
              <w:t>o the injuries or accidents.</w:t>
            </w:r>
          </w:p>
          <w:p w:rsidR="00EB4B70" w:rsidRDefault="00012F9E">
            <w:pPr>
              <w:pStyle w:val="NormalWeb"/>
              <w:rPr>
                <w:rStyle w:val="Strong"/>
              </w:rPr>
            </w:pPr>
            <w:r>
              <w:br w:type="page"/>
            </w:r>
            <w:r>
              <w:br w:type="page"/>
            </w:r>
            <w:r>
              <w:rPr>
                <w:rStyle w:val="Strong"/>
              </w:rPr>
              <w:t>Resolved:</w:t>
            </w:r>
          </w:p>
          <w:p w:rsidR="00000000" w:rsidRDefault="00012F9E">
            <w:pPr>
              <w:pStyle w:val="NormalWeb"/>
            </w:pPr>
            <w:r>
              <w:rPr>
                <w:b/>
                <w:bCs/>
              </w:rPr>
              <w:br w:type="page"/>
            </w:r>
            <w:r>
              <w:rPr>
                <w:b/>
                <w:bCs/>
              </w:rPr>
              <w:br w:type="page"/>
            </w:r>
            <w:r>
              <w:rPr>
                <w:rStyle w:val="Strong"/>
              </w:rPr>
              <w:t>That the Health and Safety Report for the period ended 30 April 2019 be received.</w:t>
            </w:r>
            <w:r>
              <w:rPr>
                <w:b/>
                <w:bCs/>
              </w:rPr>
              <w:br w:type="page"/>
            </w:r>
          </w:p>
          <w:p w:rsidR="00000000" w:rsidRDefault="00012F9E">
            <w:pPr>
              <w:pStyle w:val="NormalWeb"/>
            </w:pPr>
            <w:r>
              <w:t> </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rPr>
              <w:t>28.19</w:t>
            </w:r>
          </w:p>
        </w:tc>
        <w:tc>
          <w:tcPr>
            <w:tcW w:w="3963" w:type="pct"/>
            <w:hideMark/>
          </w:tcPr>
          <w:p w:rsidR="00000000" w:rsidRDefault="00012F9E">
            <w:pPr>
              <w:rPr>
                <w:rFonts w:eastAsia="Times New Roman"/>
              </w:rPr>
            </w:pPr>
            <w:r>
              <w:rPr>
                <w:rFonts w:eastAsia="Times New Roman"/>
                <w:b/>
                <w:bCs/>
                <w:i/>
                <w:iCs/>
              </w:rPr>
              <w:t>Deputy Principal, Finance and Corporate Services</w:t>
            </w:r>
          </w:p>
        </w:tc>
      </w:tr>
      <w:tr w:rsidR="00000000" w:rsidTr="00012F9E">
        <w:trPr>
          <w:tblCellSpacing w:w="15" w:type="dxa"/>
        </w:trPr>
        <w:tc>
          <w:tcPr>
            <w:tcW w:w="987" w:type="pct"/>
            <w:hideMark/>
          </w:tcPr>
          <w:p w:rsidR="00000000" w:rsidRDefault="00012F9E">
            <w:pPr>
              <w:rPr>
                <w:rFonts w:eastAsia="Times New Roman"/>
              </w:rPr>
            </w:pPr>
            <w:r>
              <w:rPr>
                <w:rFonts w:eastAsia="Times New Roman"/>
                <w:b/>
                <w:bCs/>
                <w:i/>
                <w:iCs/>
              </w:rPr>
              <w:t>Decision</w:t>
            </w:r>
          </w:p>
        </w:tc>
        <w:tc>
          <w:tcPr>
            <w:tcW w:w="3963" w:type="pct"/>
            <w:hideMark/>
          </w:tcPr>
          <w:p w:rsidR="00000000" w:rsidRDefault="00012F9E">
            <w:pPr>
              <w:pStyle w:val="NormalWeb"/>
            </w:pPr>
            <w:r>
              <w:t>The Chair referred to the recent notification of the resignation of Richard Morris, Deputy Principal, Finance and Corporate Services. He thanked Richard for his work for the College, his dedication to the role and commitment in producing the budget. He wis</w:t>
            </w:r>
            <w:r>
              <w:t>hed him well in the future with his new position.</w:t>
            </w:r>
          </w:p>
          <w:p w:rsidR="00000000" w:rsidRDefault="00012F9E">
            <w:pPr>
              <w:pStyle w:val="NormalWeb"/>
            </w:pPr>
            <w:r>
              <w:t>Richard responded accordingly. </w:t>
            </w:r>
          </w:p>
        </w:tc>
      </w:tr>
    </w:tbl>
    <w:p w:rsidR="00000000" w:rsidRDefault="00012F9E">
      <w:pPr>
        <w:pStyle w:val="NormalWeb"/>
        <w:pageBreakBefore/>
        <w:spacing w:before="0" w:beforeAutospacing="0" w:after="0" w:afterAutospacing="0"/>
        <w:rPr>
          <w:vanish/>
        </w:rPr>
      </w:pPr>
      <w:bookmarkStart w:id="0" w:name="_GoBack"/>
    </w:p>
    <w:bookmarkEnd w:id="0"/>
    <w:p w:rsidR="00000000" w:rsidRDefault="00012F9E">
      <w:pPr>
        <w:pStyle w:val="NormalWeb"/>
        <w:pageBreakBefore/>
        <w:spacing w:before="0" w:beforeAutospacing="0" w:after="0" w:afterAutospacing="0"/>
        <w:rPr>
          <w:vanish/>
        </w:rPr>
      </w:pPr>
    </w:p>
    <w:p w:rsidR="00000000" w:rsidRDefault="00012F9E">
      <w:pPr>
        <w:pStyle w:val="NormalWeb"/>
        <w:pageBreakBefore/>
        <w:spacing w:before="0" w:beforeAutospacing="0" w:after="0" w:afterAutospacing="0"/>
        <w:rPr>
          <w:vanish/>
        </w:rPr>
      </w:pPr>
    </w:p>
    <w:sectPr w:rsidR="000000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F9E" w:rsidRDefault="00012F9E" w:rsidP="00012F9E">
      <w:r>
        <w:separator/>
      </w:r>
    </w:p>
  </w:endnote>
  <w:endnote w:type="continuationSeparator" w:id="0">
    <w:p w:rsidR="00012F9E" w:rsidRDefault="00012F9E" w:rsidP="0001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F9E" w:rsidRDefault="00012F9E" w:rsidP="00012F9E">
      <w:r>
        <w:separator/>
      </w:r>
    </w:p>
  </w:footnote>
  <w:footnote w:type="continuationSeparator" w:id="0">
    <w:p w:rsidR="00012F9E" w:rsidRDefault="00012F9E" w:rsidP="0001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25E9"/>
    <w:multiLevelType w:val="multilevel"/>
    <w:tmpl w:val="5072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279F1"/>
    <w:rsid w:val="00012F9E"/>
    <w:rsid w:val="002279F1"/>
    <w:rsid w:val="00EB4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19F3E"/>
  <w15:chartTrackingRefBased/>
  <w15:docId w15:val="{3E4E8007-4CD3-456A-B10E-1535B02B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012F9E"/>
    <w:pPr>
      <w:tabs>
        <w:tab w:val="center" w:pos="4513"/>
        <w:tab w:val="right" w:pos="9026"/>
      </w:tabs>
    </w:pPr>
  </w:style>
  <w:style w:type="character" w:customStyle="1" w:styleId="HeaderChar">
    <w:name w:val="Header Char"/>
    <w:basedOn w:val="DefaultParagraphFont"/>
    <w:link w:val="Header"/>
    <w:uiPriority w:val="99"/>
    <w:rsid w:val="00012F9E"/>
    <w:rPr>
      <w:rFonts w:eastAsiaTheme="minorEastAsia"/>
      <w:sz w:val="24"/>
      <w:szCs w:val="24"/>
    </w:rPr>
  </w:style>
  <w:style w:type="paragraph" w:styleId="Footer">
    <w:name w:val="footer"/>
    <w:basedOn w:val="Normal"/>
    <w:link w:val="FooterChar"/>
    <w:uiPriority w:val="99"/>
    <w:unhideWhenUsed/>
    <w:rsid w:val="00012F9E"/>
    <w:pPr>
      <w:tabs>
        <w:tab w:val="center" w:pos="4513"/>
        <w:tab w:val="right" w:pos="9026"/>
      </w:tabs>
    </w:pPr>
  </w:style>
  <w:style w:type="character" w:customStyle="1" w:styleId="FooterChar">
    <w:name w:val="Footer Char"/>
    <w:basedOn w:val="DefaultParagraphFont"/>
    <w:link w:val="Footer"/>
    <w:uiPriority w:val="99"/>
    <w:rsid w:val="00012F9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6608">
      <w:marLeft w:val="0"/>
      <w:marRight w:val="0"/>
      <w:marTop w:val="0"/>
      <w:marBottom w:val="0"/>
      <w:divBdr>
        <w:top w:val="none" w:sz="0" w:space="0" w:color="auto"/>
        <w:left w:val="none" w:sz="0" w:space="0" w:color="auto"/>
        <w:bottom w:val="none" w:sz="0" w:space="0" w:color="auto"/>
        <w:right w:val="none" w:sz="0" w:space="0" w:color="auto"/>
      </w:divBdr>
    </w:div>
    <w:div w:id="191504634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2008</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dcterms:created xsi:type="dcterms:W3CDTF">2020-02-04T11:44:00Z</dcterms:created>
  <dcterms:modified xsi:type="dcterms:W3CDTF">2020-02-04T11:44:00Z</dcterms:modified>
</cp:coreProperties>
</file>