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47" w:rsidRDefault="00A20847" w:rsidP="00A20847">
      <w:pPr>
        <w:jc w:val="center"/>
        <w:rPr>
          <w:rFonts w:ascii="Arial" w:hAnsi="Arial" w:cs="Arial"/>
          <w:b/>
          <w:sz w:val="24"/>
          <w:szCs w:val="24"/>
        </w:rPr>
      </w:pPr>
      <w:r w:rsidRPr="00D27CCD">
        <w:rPr>
          <w:rFonts w:ascii="Arial" w:hAnsi="Arial" w:cs="Arial"/>
          <w:b/>
          <w:sz w:val="24"/>
          <w:szCs w:val="24"/>
        </w:rPr>
        <w:t>GENDER PAY GAP REPORTING</w:t>
      </w:r>
    </w:p>
    <w:p w:rsidR="00A20847" w:rsidRPr="00D27CCD" w:rsidRDefault="00A20847" w:rsidP="00A20847">
      <w:pPr>
        <w:jc w:val="center"/>
        <w:rPr>
          <w:rFonts w:ascii="Arial" w:hAnsi="Arial" w:cs="Arial"/>
          <w:b/>
          <w:sz w:val="24"/>
          <w:szCs w:val="24"/>
        </w:rPr>
      </w:pPr>
      <w:r>
        <w:rPr>
          <w:rFonts w:ascii="Arial" w:hAnsi="Arial" w:cs="Arial"/>
          <w:b/>
          <w:sz w:val="24"/>
          <w:szCs w:val="24"/>
        </w:rPr>
        <w:t>MYERSCOUGH COLLEGE FEC</w:t>
      </w:r>
    </w:p>
    <w:p w:rsidR="00A20847" w:rsidRDefault="00A20847" w:rsidP="00A20847">
      <w:pPr>
        <w:spacing w:after="0" w:line="240" w:lineRule="auto"/>
        <w:jc w:val="center"/>
        <w:rPr>
          <w:rFonts w:ascii="Arial" w:hAnsi="Arial" w:cs="Arial"/>
          <w:b/>
          <w:sz w:val="24"/>
          <w:szCs w:val="24"/>
        </w:rPr>
      </w:pPr>
      <w:r w:rsidRPr="00D27CCD">
        <w:rPr>
          <w:rFonts w:ascii="Arial" w:hAnsi="Arial" w:cs="Arial"/>
          <w:b/>
          <w:sz w:val="24"/>
          <w:szCs w:val="24"/>
        </w:rPr>
        <w:t>MARCH 201</w:t>
      </w:r>
      <w:r w:rsidR="006F01A0">
        <w:rPr>
          <w:rFonts w:ascii="Arial" w:hAnsi="Arial" w:cs="Arial"/>
          <w:b/>
          <w:sz w:val="24"/>
          <w:szCs w:val="24"/>
        </w:rPr>
        <w:t>9</w:t>
      </w:r>
    </w:p>
    <w:p w:rsidR="00A20847" w:rsidRDefault="00A20847" w:rsidP="00A20847">
      <w:pPr>
        <w:spacing w:after="0" w:line="240" w:lineRule="auto"/>
        <w:jc w:val="center"/>
        <w:rPr>
          <w:rFonts w:ascii="Arial" w:hAnsi="Arial" w:cs="Arial"/>
          <w:sz w:val="24"/>
          <w:szCs w:val="24"/>
        </w:rPr>
      </w:pPr>
      <w:r w:rsidRPr="009F760C">
        <w:rPr>
          <w:rFonts w:ascii="Arial" w:hAnsi="Arial" w:cs="Arial"/>
          <w:sz w:val="24"/>
          <w:szCs w:val="24"/>
        </w:rPr>
        <w:t>(</w:t>
      </w:r>
      <w:proofErr w:type="gramStart"/>
      <w:r w:rsidRPr="009F760C">
        <w:rPr>
          <w:rFonts w:ascii="Arial" w:hAnsi="Arial" w:cs="Arial"/>
          <w:sz w:val="24"/>
          <w:szCs w:val="24"/>
        </w:rPr>
        <w:t>based</w:t>
      </w:r>
      <w:proofErr w:type="gramEnd"/>
      <w:r w:rsidRPr="009F760C">
        <w:rPr>
          <w:rFonts w:ascii="Arial" w:hAnsi="Arial" w:cs="Arial"/>
          <w:sz w:val="24"/>
          <w:szCs w:val="24"/>
        </w:rPr>
        <w:t xml:space="preserve"> on data as at 31 March 201</w:t>
      </w:r>
      <w:r w:rsidR="004A4581">
        <w:rPr>
          <w:rFonts w:ascii="Arial" w:hAnsi="Arial" w:cs="Arial"/>
          <w:sz w:val="24"/>
          <w:szCs w:val="24"/>
        </w:rPr>
        <w:t>8</w:t>
      </w:r>
      <w:r w:rsidRPr="009F760C">
        <w:rPr>
          <w:rFonts w:ascii="Arial" w:hAnsi="Arial" w:cs="Arial"/>
          <w:sz w:val="24"/>
          <w:szCs w:val="24"/>
        </w:rPr>
        <w:t>)</w:t>
      </w:r>
    </w:p>
    <w:p w:rsidR="003A6664" w:rsidRDefault="003A6664" w:rsidP="00A20847">
      <w:pPr>
        <w:spacing w:after="0" w:line="240" w:lineRule="auto"/>
        <w:jc w:val="center"/>
        <w:rPr>
          <w:rFonts w:ascii="Arial" w:hAnsi="Arial" w:cs="Arial"/>
          <w:sz w:val="24"/>
          <w:szCs w:val="24"/>
        </w:rPr>
      </w:pPr>
      <w:r>
        <w:rPr>
          <w:rFonts w:ascii="Arial" w:hAnsi="Arial" w:cs="Arial"/>
          <w:sz w:val="24"/>
          <w:szCs w:val="24"/>
        </w:rPr>
        <w:t>.</w:t>
      </w:r>
    </w:p>
    <w:p w:rsidR="00A20847" w:rsidRDefault="00A20847" w:rsidP="00A20847">
      <w:pPr>
        <w:spacing w:after="0" w:line="240" w:lineRule="auto"/>
        <w:jc w:val="center"/>
        <w:rPr>
          <w:rFonts w:ascii="Arial" w:hAnsi="Arial" w:cs="Arial"/>
          <w:sz w:val="24"/>
          <w:szCs w:val="24"/>
        </w:rPr>
      </w:pPr>
    </w:p>
    <w:p w:rsidR="00A20847" w:rsidRDefault="00A20847" w:rsidP="00A20847">
      <w:pPr>
        <w:rPr>
          <w:rFonts w:ascii="Arial" w:hAnsi="Arial" w:cs="Arial"/>
          <w:sz w:val="24"/>
          <w:szCs w:val="24"/>
        </w:rPr>
      </w:pPr>
      <w:r>
        <w:rPr>
          <w:rFonts w:ascii="Arial" w:hAnsi="Arial" w:cs="Arial"/>
          <w:sz w:val="24"/>
          <w:szCs w:val="24"/>
        </w:rPr>
        <w:t>Women’s hourly rate is lower than males by the percentages indicated *</w:t>
      </w:r>
    </w:p>
    <w:tbl>
      <w:tblPr>
        <w:tblStyle w:val="TableGrid"/>
        <w:tblW w:w="9498" w:type="dxa"/>
        <w:tblLook w:val="04A0" w:firstRow="1" w:lastRow="0" w:firstColumn="1" w:lastColumn="0" w:noHBand="0" w:noVBand="1"/>
      </w:tblPr>
      <w:tblGrid>
        <w:gridCol w:w="2547"/>
        <w:gridCol w:w="5245"/>
        <w:gridCol w:w="1706"/>
      </w:tblGrid>
      <w:tr w:rsidR="00A20847" w:rsidTr="004977D3">
        <w:tc>
          <w:tcPr>
            <w:tcW w:w="2547" w:type="dxa"/>
            <w:tcBorders>
              <w:top w:val="nil"/>
              <w:left w:val="nil"/>
              <w:bottom w:val="nil"/>
            </w:tcBorders>
          </w:tcPr>
          <w:p w:rsidR="00A20847" w:rsidRPr="005E5CB4" w:rsidRDefault="00A20847" w:rsidP="00756579">
            <w:pPr>
              <w:jc w:val="both"/>
              <w:rPr>
                <w:rFonts w:ascii="Arial" w:hAnsi="Arial" w:cs="Arial"/>
                <w:b/>
                <w:sz w:val="24"/>
                <w:szCs w:val="24"/>
              </w:rPr>
            </w:pPr>
            <w:r w:rsidRPr="005E5CB4">
              <w:rPr>
                <w:rFonts w:ascii="Arial" w:hAnsi="Arial" w:cs="Arial"/>
                <w:b/>
                <w:sz w:val="24"/>
                <w:szCs w:val="24"/>
              </w:rPr>
              <w:t>Mean average</w:t>
            </w:r>
          </w:p>
        </w:tc>
        <w:tc>
          <w:tcPr>
            <w:tcW w:w="5245" w:type="dxa"/>
          </w:tcPr>
          <w:p w:rsidR="00A20847" w:rsidRDefault="00A20847" w:rsidP="00756579">
            <w:pPr>
              <w:jc w:val="both"/>
              <w:rPr>
                <w:rFonts w:ascii="Arial" w:hAnsi="Arial" w:cs="Arial"/>
                <w:sz w:val="24"/>
                <w:szCs w:val="24"/>
              </w:rPr>
            </w:pPr>
            <w:r>
              <w:rPr>
                <w:rFonts w:ascii="Arial" w:hAnsi="Arial" w:cs="Arial"/>
                <w:sz w:val="24"/>
                <w:szCs w:val="24"/>
              </w:rPr>
              <w:t xml:space="preserve">Myerscough College Mean Gender Pay Gap </w:t>
            </w:r>
          </w:p>
        </w:tc>
        <w:tc>
          <w:tcPr>
            <w:tcW w:w="1706" w:type="dxa"/>
          </w:tcPr>
          <w:p w:rsidR="00D76E94" w:rsidRPr="006F01A0" w:rsidRDefault="00D76E94" w:rsidP="00756579">
            <w:pPr>
              <w:jc w:val="center"/>
              <w:rPr>
                <w:rFonts w:ascii="Arial" w:hAnsi="Arial" w:cs="Arial"/>
                <w:sz w:val="24"/>
                <w:szCs w:val="24"/>
              </w:rPr>
            </w:pPr>
            <w:r w:rsidRPr="006F01A0">
              <w:rPr>
                <w:rFonts w:ascii="Arial" w:hAnsi="Arial" w:cs="Arial"/>
                <w:sz w:val="24"/>
                <w:szCs w:val="24"/>
              </w:rPr>
              <w:t>15.3%</w:t>
            </w:r>
          </w:p>
          <w:p w:rsidR="00A20847" w:rsidRPr="006F01A0" w:rsidRDefault="00A20847" w:rsidP="00D76E94">
            <w:pPr>
              <w:jc w:val="center"/>
              <w:rPr>
                <w:rFonts w:ascii="Arial" w:hAnsi="Arial" w:cs="Arial"/>
                <w:sz w:val="24"/>
                <w:szCs w:val="24"/>
              </w:rPr>
            </w:pPr>
          </w:p>
        </w:tc>
      </w:tr>
      <w:tr w:rsidR="00A20847" w:rsidTr="004977D3">
        <w:tc>
          <w:tcPr>
            <w:tcW w:w="2547" w:type="dxa"/>
            <w:tcBorders>
              <w:top w:val="nil"/>
              <w:left w:val="nil"/>
              <w:bottom w:val="nil"/>
            </w:tcBorders>
          </w:tcPr>
          <w:p w:rsidR="00A20847" w:rsidRPr="005E5CB4" w:rsidRDefault="00A20847" w:rsidP="00756579">
            <w:pPr>
              <w:jc w:val="both"/>
              <w:rPr>
                <w:rFonts w:ascii="Arial" w:hAnsi="Arial" w:cs="Arial"/>
                <w:b/>
                <w:sz w:val="24"/>
                <w:szCs w:val="24"/>
              </w:rPr>
            </w:pPr>
            <w:r w:rsidRPr="005E5CB4">
              <w:rPr>
                <w:rFonts w:ascii="Arial" w:hAnsi="Arial" w:cs="Arial"/>
                <w:b/>
                <w:sz w:val="24"/>
                <w:szCs w:val="24"/>
              </w:rPr>
              <w:t>Median average</w:t>
            </w:r>
          </w:p>
        </w:tc>
        <w:tc>
          <w:tcPr>
            <w:tcW w:w="5245" w:type="dxa"/>
          </w:tcPr>
          <w:p w:rsidR="00A20847" w:rsidRDefault="00A20847" w:rsidP="00756579">
            <w:pPr>
              <w:jc w:val="both"/>
              <w:rPr>
                <w:rFonts w:ascii="Arial" w:hAnsi="Arial" w:cs="Arial"/>
                <w:sz w:val="24"/>
                <w:szCs w:val="24"/>
              </w:rPr>
            </w:pPr>
            <w:r>
              <w:rPr>
                <w:rFonts w:ascii="Arial" w:hAnsi="Arial" w:cs="Arial"/>
                <w:sz w:val="24"/>
                <w:szCs w:val="24"/>
              </w:rPr>
              <w:t>Myerscough College Median Gender Pay Gap</w:t>
            </w:r>
          </w:p>
        </w:tc>
        <w:tc>
          <w:tcPr>
            <w:tcW w:w="1706" w:type="dxa"/>
          </w:tcPr>
          <w:p w:rsidR="00D76E94" w:rsidRPr="006F01A0" w:rsidRDefault="00D76E94" w:rsidP="00D76E94">
            <w:pPr>
              <w:jc w:val="center"/>
              <w:rPr>
                <w:rFonts w:ascii="Arial" w:hAnsi="Arial" w:cs="Arial"/>
                <w:sz w:val="24"/>
                <w:szCs w:val="24"/>
              </w:rPr>
            </w:pPr>
            <w:r w:rsidRPr="006F01A0">
              <w:rPr>
                <w:rFonts w:ascii="Arial" w:hAnsi="Arial" w:cs="Arial"/>
                <w:sz w:val="24"/>
                <w:szCs w:val="24"/>
              </w:rPr>
              <w:t>28.0%</w:t>
            </w:r>
          </w:p>
          <w:p w:rsidR="00A20847" w:rsidRPr="006F01A0" w:rsidRDefault="00A20847" w:rsidP="00D76E94">
            <w:pPr>
              <w:jc w:val="center"/>
              <w:rPr>
                <w:rFonts w:ascii="Arial" w:hAnsi="Arial" w:cs="Arial"/>
                <w:sz w:val="24"/>
                <w:szCs w:val="24"/>
              </w:rPr>
            </w:pPr>
          </w:p>
        </w:tc>
      </w:tr>
    </w:tbl>
    <w:p w:rsidR="00A20847" w:rsidRDefault="00A20847" w:rsidP="00A20847">
      <w:pPr>
        <w:jc w:val="both"/>
        <w:rPr>
          <w:rFonts w:ascii="Arial" w:hAnsi="Arial" w:cs="Arial"/>
          <w:b/>
          <w:sz w:val="24"/>
          <w:szCs w:val="24"/>
        </w:rPr>
      </w:pPr>
    </w:p>
    <w:tbl>
      <w:tblPr>
        <w:tblStyle w:val="TableGrid"/>
        <w:tblW w:w="9498" w:type="dxa"/>
        <w:tblLook w:val="04A0" w:firstRow="1" w:lastRow="0" w:firstColumn="1" w:lastColumn="0" w:noHBand="0" w:noVBand="1"/>
      </w:tblPr>
      <w:tblGrid>
        <w:gridCol w:w="284"/>
        <w:gridCol w:w="3372"/>
        <w:gridCol w:w="1686"/>
        <w:gridCol w:w="2029"/>
        <w:gridCol w:w="2127"/>
      </w:tblGrid>
      <w:tr w:rsidR="00A20847" w:rsidTr="00D76E94">
        <w:trPr>
          <w:trHeight w:val="365"/>
        </w:trPr>
        <w:tc>
          <w:tcPr>
            <w:tcW w:w="284" w:type="dxa"/>
            <w:tcBorders>
              <w:top w:val="nil"/>
              <w:left w:val="nil"/>
              <w:bottom w:val="nil"/>
            </w:tcBorders>
          </w:tcPr>
          <w:p w:rsidR="00A20847" w:rsidRDefault="00A20847" w:rsidP="00756579">
            <w:pPr>
              <w:jc w:val="both"/>
              <w:rPr>
                <w:rFonts w:ascii="Arial" w:hAnsi="Arial" w:cs="Arial"/>
                <w:b/>
                <w:sz w:val="24"/>
                <w:szCs w:val="24"/>
              </w:rPr>
            </w:pPr>
          </w:p>
        </w:tc>
        <w:tc>
          <w:tcPr>
            <w:tcW w:w="3372" w:type="dxa"/>
            <w:shd w:val="clear" w:color="auto" w:fill="BFBFBF" w:themeFill="background1" w:themeFillShade="BF"/>
          </w:tcPr>
          <w:p w:rsidR="00A20847" w:rsidRDefault="00A20847" w:rsidP="00756579">
            <w:pPr>
              <w:ind w:hanging="247"/>
              <w:jc w:val="center"/>
              <w:rPr>
                <w:rFonts w:ascii="Arial" w:hAnsi="Arial" w:cs="Arial"/>
                <w:b/>
                <w:sz w:val="24"/>
                <w:szCs w:val="24"/>
              </w:rPr>
            </w:pPr>
            <w:r w:rsidRPr="00755EBE">
              <w:rPr>
                <w:rFonts w:ascii="Arial" w:hAnsi="Arial" w:cs="Arial"/>
                <w:b/>
                <w:sz w:val="24"/>
                <w:szCs w:val="24"/>
              </w:rPr>
              <w:t>Quartile calculation</w:t>
            </w:r>
          </w:p>
        </w:tc>
        <w:tc>
          <w:tcPr>
            <w:tcW w:w="1686" w:type="dxa"/>
            <w:shd w:val="clear" w:color="auto" w:fill="BFBFBF" w:themeFill="background1" w:themeFillShade="BF"/>
          </w:tcPr>
          <w:p w:rsidR="00A20847" w:rsidRDefault="00A20847" w:rsidP="00756579">
            <w:pPr>
              <w:jc w:val="center"/>
              <w:rPr>
                <w:rFonts w:ascii="Arial" w:hAnsi="Arial" w:cs="Arial"/>
                <w:b/>
                <w:sz w:val="24"/>
                <w:szCs w:val="24"/>
              </w:rPr>
            </w:pPr>
            <w:r>
              <w:rPr>
                <w:rFonts w:ascii="Arial" w:hAnsi="Arial" w:cs="Arial"/>
                <w:b/>
                <w:sz w:val="24"/>
                <w:szCs w:val="24"/>
              </w:rPr>
              <w:t>Quartile</w:t>
            </w:r>
          </w:p>
        </w:tc>
        <w:tc>
          <w:tcPr>
            <w:tcW w:w="2029" w:type="dxa"/>
            <w:shd w:val="clear" w:color="auto" w:fill="BFBFBF" w:themeFill="background1" w:themeFillShade="BF"/>
          </w:tcPr>
          <w:p w:rsidR="00A20847" w:rsidRDefault="00A20847" w:rsidP="00756579">
            <w:pPr>
              <w:jc w:val="center"/>
              <w:rPr>
                <w:rFonts w:ascii="Arial" w:hAnsi="Arial" w:cs="Arial"/>
                <w:b/>
                <w:sz w:val="24"/>
                <w:szCs w:val="24"/>
              </w:rPr>
            </w:pPr>
            <w:r>
              <w:rPr>
                <w:rFonts w:ascii="Arial" w:hAnsi="Arial" w:cs="Arial"/>
                <w:b/>
                <w:sz w:val="24"/>
                <w:szCs w:val="24"/>
              </w:rPr>
              <w:t>Male</w:t>
            </w:r>
          </w:p>
        </w:tc>
        <w:tc>
          <w:tcPr>
            <w:tcW w:w="2127" w:type="dxa"/>
            <w:shd w:val="clear" w:color="auto" w:fill="BFBFBF" w:themeFill="background1" w:themeFillShade="BF"/>
          </w:tcPr>
          <w:p w:rsidR="00A20847" w:rsidRDefault="00A20847" w:rsidP="00756579">
            <w:pPr>
              <w:jc w:val="center"/>
              <w:rPr>
                <w:rFonts w:ascii="Arial" w:hAnsi="Arial" w:cs="Arial"/>
                <w:b/>
                <w:sz w:val="24"/>
                <w:szCs w:val="24"/>
              </w:rPr>
            </w:pPr>
            <w:r>
              <w:rPr>
                <w:rFonts w:ascii="Arial" w:hAnsi="Arial" w:cs="Arial"/>
                <w:b/>
                <w:sz w:val="24"/>
                <w:szCs w:val="24"/>
              </w:rPr>
              <w:t>Female</w:t>
            </w:r>
          </w:p>
        </w:tc>
      </w:tr>
      <w:tr w:rsidR="00A20847" w:rsidTr="00D76E94">
        <w:tc>
          <w:tcPr>
            <w:tcW w:w="284" w:type="dxa"/>
            <w:tcBorders>
              <w:top w:val="nil"/>
              <w:left w:val="nil"/>
              <w:bottom w:val="nil"/>
            </w:tcBorders>
          </w:tcPr>
          <w:p w:rsidR="00A20847" w:rsidRDefault="00A20847" w:rsidP="00756579">
            <w:pPr>
              <w:jc w:val="both"/>
              <w:rPr>
                <w:rFonts w:ascii="Arial" w:hAnsi="Arial" w:cs="Arial"/>
                <w:b/>
                <w:sz w:val="24"/>
                <w:szCs w:val="24"/>
              </w:rPr>
            </w:pPr>
          </w:p>
        </w:tc>
        <w:tc>
          <w:tcPr>
            <w:tcW w:w="3372" w:type="dxa"/>
            <w:vMerge w:val="restart"/>
          </w:tcPr>
          <w:p w:rsidR="00A20847" w:rsidRPr="00A7278D" w:rsidRDefault="00A20847" w:rsidP="001C3409">
            <w:pPr>
              <w:tabs>
                <w:tab w:val="center" w:pos="1454"/>
              </w:tabs>
              <w:ind w:hanging="247"/>
              <w:jc w:val="both"/>
              <w:rPr>
                <w:rFonts w:ascii="Arial" w:hAnsi="Arial" w:cs="Arial"/>
                <w:sz w:val="20"/>
                <w:szCs w:val="20"/>
              </w:rPr>
            </w:pPr>
            <w:proofErr w:type="gramStart"/>
            <w:r>
              <w:rPr>
                <w:rFonts w:ascii="Arial" w:hAnsi="Arial" w:cs="Arial"/>
                <w:sz w:val="24"/>
                <w:szCs w:val="24"/>
              </w:rPr>
              <w:t>k</w:t>
            </w:r>
            <w:proofErr w:type="gramEnd"/>
            <w:r>
              <w:rPr>
                <w:rFonts w:ascii="Arial" w:hAnsi="Arial" w:cs="Arial"/>
                <w:sz w:val="24"/>
                <w:szCs w:val="24"/>
              </w:rPr>
              <w:tab/>
            </w:r>
            <w:r>
              <w:rPr>
                <w:rFonts w:ascii="Arial" w:hAnsi="Arial" w:cs="Arial"/>
                <w:sz w:val="24"/>
                <w:szCs w:val="24"/>
              </w:rPr>
              <w:tab/>
            </w:r>
            <w:r w:rsidRPr="00A7278D">
              <w:rPr>
                <w:rFonts w:ascii="Arial" w:hAnsi="Arial" w:cs="Arial"/>
                <w:sz w:val="20"/>
                <w:szCs w:val="20"/>
              </w:rPr>
              <w:t xml:space="preserve">This indicates the percentage of males and females in each quartile. </w:t>
            </w:r>
          </w:p>
        </w:tc>
        <w:tc>
          <w:tcPr>
            <w:tcW w:w="1686" w:type="dxa"/>
          </w:tcPr>
          <w:p w:rsidR="00A20847" w:rsidRPr="00011FD7" w:rsidRDefault="00A20847" w:rsidP="00756579">
            <w:pPr>
              <w:jc w:val="center"/>
              <w:rPr>
                <w:rFonts w:ascii="Arial" w:hAnsi="Arial" w:cs="Arial"/>
                <w:sz w:val="24"/>
                <w:szCs w:val="24"/>
              </w:rPr>
            </w:pPr>
            <w:r>
              <w:rPr>
                <w:rFonts w:ascii="Arial" w:hAnsi="Arial" w:cs="Arial"/>
                <w:sz w:val="24"/>
                <w:szCs w:val="24"/>
              </w:rPr>
              <w:t>Lower</w:t>
            </w:r>
          </w:p>
        </w:tc>
        <w:tc>
          <w:tcPr>
            <w:tcW w:w="2029" w:type="dxa"/>
          </w:tcPr>
          <w:p w:rsidR="00A20847" w:rsidRPr="006F01A0" w:rsidRDefault="00D76E94" w:rsidP="006F01A0">
            <w:pPr>
              <w:jc w:val="center"/>
              <w:rPr>
                <w:rFonts w:ascii="Arial" w:hAnsi="Arial" w:cs="Arial"/>
                <w:sz w:val="24"/>
                <w:szCs w:val="24"/>
              </w:rPr>
            </w:pPr>
            <w:r w:rsidRPr="006F01A0">
              <w:rPr>
                <w:rFonts w:ascii="Arial" w:hAnsi="Arial" w:cs="Arial"/>
                <w:sz w:val="24"/>
                <w:szCs w:val="24"/>
              </w:rPr>
              <w:t>31.3%</w:t>
            </w:r>
            <w:r w:rsidR="006F01A0" w:rsidRPr="006F01A0">
              <w:rPr>
                <w:rFonts w:ascii="Arial" w:hAnsi="Arial" w:cs="Arial"/>
                <w:sz w:val="24"/>
                <w:szCs w:val="24"/>
              </w:rPr>
              <w:t xml:space="preserve"> </w:t>
            </w:r>
          </w:p>
        </w:tc>
        <w:tc>
          <w:tcPr>
            <w:tcW w:w="2127" w:type="dxa"/>
          </w:tcPr>
          <w:p w:rsidR="00A20847" w:rsidRPr="006F01A0" w:rsidRDefault="00D76E94" w:rsidP="006F01A0">
            <w:pPr>
              <w:jc w:val="center"/>
              <w:rPr>
                <w:rFonts w:ascii="Arial" w:hAnsi="Arial" w:cs="Arial"/>
                <w:sz w:val="24"/>
                <w:szCs w:val="24"/>
              </w:rPr>
            </w:pPr>
            <w:r w:rsidRPr="006F01A0">
              <w:rPr>
                <w:rFonts w:ascii="Arial" w:hAnsi="Arial" w:cs="Arial"/>
                <w:sz w:val="24"/>
                <w:szCs w:val="24"/>
              </w:rPr>
              <w:t>68.7</w:t>
            </w:r>
            <w:r w:rsidR="00A20847" w:rsidRPr="006F01A0">
              <w:rPr>
                <w:rFonts w:ascii="Arial" w:hAnsi="Arial" w:cs="Arial"/>
                <w:sz w:val="24"/>
                <w:szCs w:val="24"/>
              </w:rPr>
              <w:t xml:space="preserve">% </w:t>
            </w:r>
            <w:r w:rsidRPr="006F01A0">
              <w:rPr>
                <w:rFonts w:ascii="Arial" w:hAnsi="Arial" w:cs="Arial"/>
                <w:sz w:val="24"/>
                <w:szCs w:val="24"/>
              </w:rPr>
              <w:t xml:space="preserve"> </w:t>
            </w:r>
          </w:p>
        </w:tc>
      </w:tr>
      <w:tr w:rsidR="00A20847" w:rsidTr="00D76E94">
        <w:tc>
          <w:tcPr>
            <w:tcW w:w="284" w:type="dxa"/>
            <w:tcBorders>
              <w:top w:val="nil"/>
              <w:left w:val="nil"/>
              <w:bottom w:val="nil"/>
            </w:tcBorders>
          </w:tcPr>
          <w:p w:rsidR="00A20847" w:rsidRDefault="00A20847" w:rsidP="00756579">
            <w:pPr>
              <w:jc w:val="both"/>
              <w:rPr>
                <w:rFonts w:ascii="Arial" w:hAnsi="Arial" w:cs="Arial"/>
                <w:b/>
                <w:sz w:val="24"/>
                <w:szCs w:val="24"/>
              </w:rPr>
            </w:pPr>
          </w:p>
        </w:tc>
        <w:tc>
          <w:tcPr>
            <w:tcW w:w="3372" w:type="dxa"/>
            <w:vMerge/>
          </w:tcPr>
          <w:p w:rsidR="00A20847" w:rsidRDefault="00A20847" w:rsidP="00756579">
            <w:pPr>
              <w:ind w:hanging="247"/>
              <w:jc w:val="both"/>
              <w:rPr>
                <w:rFonts w:ascii="Arial" w:hAnsi="Arial" w:cs="Arial"/>
                <w:sz w:val="24"/>
                <w:szCs w:val="24"/>
              </w:rPr>
            </w:pPr>
          </w:p>
        </w:tc>
        <w:tc>
          <w:tcPr>
            <w:tcW w:w="1686" w:type="dxa"/>
          </w:tcPr>
          <w:p w:rsidR="00A20847" w:rsidRPr="00011FD7" w:rsidRDefault="00A20847" w:rsidP="00756579">
            <w:pPr>
              <w:jc w:val="center"/>
              <w:rPr>
                <w:rFonts w:ascii="Arial" w:hAnsi="Arial" w:cs="Arial"/>
                <w:sz w:val="24"/>
                <w:szCs w:val="24"/>
              </w:rPr>
            </w:pPr>
            <w:r>
              <w:rPr>
                <w:rFonts w:ascii="Arial" w:hAnsi="Arial" w:cs="Arial"/>
                <w:sz w:val="24"/>
                <w:szCs w:val="24"/>
              </w:rPr>
              <w:t>Lower middle</w:t>
            </w:r>
          </w:p>
        </w:tc>
        <w:tc>
          <w:tcPr>
            <w:tcW w:w="2029" w:type="dxa"/>
          </w:tcPr>
          <w:p w:rsidR="00A20847" w:rsidRPr="006F01A0" w:rsidRDefault="003A6664" w:rsidP="006F01A0">
            <w:pPr>
              <w:jc w:val="center"/>
              <w:rPr>
                <w:rFonts w:ascii="Arial" w:hAnsi="Arial" w:cs="Arial"/>
                <w:sz w:val="24"/>
                <w:szCs w:val="24"/>
              </w:rPr>
            </w:pPr>
            <w:r w:rsidRPr="006F01A0">
              <w:rPr>
                <w:rFonts w:ascii="Arial" w:hAnsi="Arial" w:cs="Arial"/>
                <w:sz w:val="24"/>
                <w:szCs w:val="24"/>
              </w:rPr>
              <w:t xml:space="preserve">19.9% </w:t>
            </w:r>
          </w:p>
        </w:tc>
        <w:tc>
          <w:tcPr>
            <w:tcW w:w="2127" w:type="dxa"/>
          </w:tcPr>
          <w:p w:rsidR="00A20847" w:rsidRPr="006F01A0" w:rsidRDefault="00D76E94" w:rsidP="006F01A0">
            <w:pPr>
              <w:jc w:val="center"/>
              <w:rPr>
                <w:rFonts w:ascii="Arial" w:hAnsi="Arial" w:cs="Arial"/>
                <w:sz w:val="24"/>
                <w:szCs w:val="24"/>
              </w:rPr>
            </w:pPr>
            <w:r w:rsidRPr="006F01A0">
              <w:rPr>
                <w:rFonts w:ascii="Arial" w:hAnsi="Arial" w:cs="Arial"/>
                <w:sz w:val="24"/>
                <w:szCs w:val="24"/>
              </w:rPr>
              <w:t xml:space="preserve">80.1% </w:t>
            </w:r>
          </w:p>
        </w:tc>
      </w:tr>
      <w:tr w:rsidR="00A20847" w:rsidTr="00D76E94">
        <w:tc>
          <w:tcPr>
            <w:tcW w:w="284" w:type="dxa"/>
            <w:tcBorders>
              <w:top w:val="nil"/>
              <w:left w:val="nil"/>
              <w:bottom w:val="nil"/>
            </w:tcBorders>
          </w:tcPr>
          <w:p w:rsidR="00A20847" w:rsidRDefault="00A20847" w:rsidP="00756579">
            <w:pPr>
              <w:jc w:val="both"/>
              <w:rPr>
                <w:rFonts w:ascii="Arial" w:hAnsi="Arial" w:cs="Arial"/>
                <w:b/>
                <w:sz w:val="24"/>
                <w:szCs w:val="24"/>
              </w:rPr>
            </w:pPr>
          </w:p>
        </w:tc>
        <w:tc>
          <w:tcPr>
            <w:tcW w:w="3372" w:type="dxa"/>
            <w:vMerge/>
          </w:tcPr>
          <w:p w:rsidR="00A20847" w:rsidRPr="00011FD7" w:rsidRDefault="00A20847" w:rsidP="00756579">
            <w:pPr>
              <w:ind w:hanging="247"/>
              <w:jc w:val="both"/>
              <w:rPr>
                <w:rFonts w:ascii="Arial" w:hAnsi="Arial" w:cs="Arial"/>
                <w:sz w:val="24"/>
                <w:szCs w:val="24"/>
              </w:rPr>
            </w:pPr>
          </w:p>
        </w:tc>
        <w:tc>
          <w:tcPr>
            <w:tcW w:w="1686" w:type="dxa"/>
          </w:tcPr>
          <w:p w:rsidR="00A20847" w:rsidRPr="00011FD7" w:rsidRDefault="00A20847" w:rsidP="00756579">
            <w:pPr>
              <w:jc w:val="center"/>
              <w:rPr>
                <w:rFonts w:ascii="Arial" w:hAnsi="Arial" w:cs="Arial"/>
                <w:sz w:val="24"/>
                <w:szCs w:val="24"/>
              </w:rPr>
            </w:pPr>
            <w:r w:rsidRPr="00011FD7">
              <w:rPr>
                <w:rFonts w:ascii="Arial" w:hAnsi="Arial" w:cs="Arial"/>
                <w:sz w:val="24"/>
                <w:szCs w:val="24"/>
              </w:rPr>
              <w:t>Upper middle</w:t>
            </w:r>
          </w:p>
        </w:tc>
        <w:tc>
          <w:tcPr>
            <w:tcW w:w="2029" w:type="dxa"/>
          </w:tcPr>
          <w:p w:rsidR="00A20847" w:rsidRPr="006F01A0" w:rsidRDefault="00D76E94" w:rsidP="006F01A0">
            <w:pPr>
              <w:jc w:val="center"/>
              <w:rPr>
                <w:rFonts w:ascii="Arial" w:hAnsi="Arial" w:cs="Arial"/>
                <w:sz w:val="24"/>
                <w:szCs w:val="24"/>
              </w:rPr>
            </w:pPr>
            <w:r w:rsidRPr="006F01A0">
              <w:rPr>
                <w:rFonts w:ascii="Arial" w:hAnsi="Arial" w:cs="Arial"/>
                <w:sz w:val="24"/>
                <w:szCs w:val="24"/>
              </w:rPr>
              <w:t>45.5%</w:t>
            </w:r>
            <w:r w:rsidR="006F01A0" w:rsidRPr="006F01A0">
              <w:rPr>
                <w:rFonts w:ascii="Arial" w:hAnsi="Arial" w:cs="Arial"/>
                <w:sz w:val="24"/>
                <w:szCs w:val="24"/>
              </w:rPr>
              <w:t xml:space="preserve"> </w:t>
            </w:r>
          </w:p>
        </w:tc>
        <w:tc>
          <w:tcPr>
            <w:tcW w:w="2127" w:type="dxa"/>
          </w:tcPr>
          <w:p w:rsidR="00A20847" w:rsidRPr="006F01A0" w:rsidRDefault="00CB1945" w:rsidP="006F01A0">
            <w:pPr>
              <w:jc w:val="center"/>
              <w:rPr>
                <w:rFonts w:ascii="Arial" w:hAnsi="Arial" w:cs="Arial"/>
                <w:sz w:val="24"/>
                <w:szCs w:val="24"/>
              </w:rPr>
            </w:pPr>
            <w:r w:rsidRPr="006F01A0">
              <w:rPr>
                <w:rFonts w:ascii="Arial" w:hAnsi="Arial" w:cs="Arial"/>
                <w:sz w:val="24"/>
                <w:szCs w:val="24"/>
              </w:rPr>
              <w:t xml:space="preserve">54.5% </w:t>
            </w:r>
          </w:p>
        </w:tc>
      </w:tr>
      <w:tr w:rsidR="00A20847" w:rsidTr="00D76E94">
        <w:tc>
          <w:tcPr>
            <w:tcW w:w="284" w:type="dxa"/>
            <w:tcBorders>
              <w:top w:val="nil"/>
              <w:left w:val="nil"/>
              <w:bottom w:val="nil"/>
            </w:tcBorders>
          </w:tcPr>
          <w:p w:rsidR="00A20847" w:rsidRDefault="00A20847" w:rsidP="00756579">
            <w:pPr>
              <w:jc w:val="both"/>
              <w:rPr>
                <w:rFonts w:ascii="Arial" w:hAnsi="Arial" w:cs="Arial"/>
                <w:b/>
                <w:sz w:val="24"/>
                <w:szCs w:val="24"/>
              </w:rPr>
            </w:pPr>
          </w:p>
        </w:tc>
        <w:tc>
          <w:tcPr>
            <w:tcW w:w="3372" w:type="dxa"/>
            <w:vMerge/>
          </w:tcPr>
          <w:p w:rsidR="00A20847" w:rsidRPr="00011FD7" w:rsidRDefault="00A20847" w:rsidP="00756579">
            <w:pPr>
              <w:ind w:hanging="247"/>
              <w:jc w:val="both"/>
              <w:rPr>
                <w:rFonts w:ascii="Arial" w:hAnsi="Arial" w:cs="Arial"/>
                <w:sz w:val="24"/>
                <w:szCs w:val="24"/>
              </w:rPr>
            </w:pPr>
          </w:p>
        </w:tc>
        <w:tc>
          <w:tcPr>
            <w:tcW w:w="1686" w:type="dxa"/>
          </w:tcPr>
          <w:p w:rsidR="00A20847" w:rsidRPr="00011FD7" w:rsidRDefault="00A20847" w:rsidP="00756579">
            <w:pPr>
              <w:jc w:val="center"/>
              <w:rPr>
                <w:rFonts w:ascii="Arial" w:hAnsi="Arial" w:cs="Arial"/>
                <w:sz w:val="24"/>
                <w:szCs w:val="24"/>
              </w:rPr>
            </w:pPr>
            <w:r w:rsidRPr="00011FD7">
              <w:rPr>
                <w:rFonts w:ascii="Arial" w:hAnsi="Arial" w:cs="Arial"/>
                <w:sz w:val="24"/>
                <w:szCs w:val="24"/>
              </w:rPr>
              <w:t>Upper</w:t>
            </w:r>
          </w:p>
        </w:tc>
        <w:tc>
          <w:tcPr>
            <w:tcW w:w="2029" w:type="dxa"/>
          </w:tcPr>
          <w:p w:rsidR="00A20847" w:rsidRPr="006F01A0" w:rsidRDefault="003A6664" w:rsidP="006F01A0">
            <w:pPr>
              <w:jc w:val="center"/>
              <w:rPr>
                <w:rFonts w:ascii="Arial" w:hAnsi="Arial" w:cs="Arial"/>
                <w:sz w:val="24"/>
                <w:szCs w:val="24"/>
              </w:rPr>
            </w:pPr>
            <w:r w:rsidRPr="006F01A0">
              <w:rPr>
                <w:rFonts w:ascii="Arial" w:hAnsi="Arial" w:cs="Arial"/>
                <w:sz w:val="24"/>
                <w:szCs w:val="24"/>
              </w:rPr>
              <w:t xml:space="preserve">52.7% </w:t>
            </w:r>
          </w:p>
        </w:tc>
        <w:tc>
          <w:tcPr>
            <w:tcW w:w="2127" w:type="dxa"/>
          </w:tcPr>
          <w:p w:rsidR="00A20847" w:rsidRPr="006F01A0" w:rsidRDefault="003A6664" w:rsidP="006F01A0">
            <w:pPr>
              <w:jc w:val="center"/>
              <w:rPr>
                <w:rFonts w:ascii="Arial" w:hAnsi="Arial" w:cs="Arial"/>
                <w:sz w:val="24"/>
                <w:szCs w:val="24"/>
              </w:rPr>
            </w:pPr>
            <w:r w:rsidRPr="006F01A0">
              <w:rPr>
                <w:rFonts w:ascii="Arial" w:hAnsi="Arial" w:cs="Arial"/>
                <w:sz w:val="24"/>
                <w:szCs w:val="24"/>
              </w:rPr>
              <w:t>47.3</w:t>
            </w:r>
            <w:r w:rsidR="006F01A0" w:rsidRPr="006F01A0">
              <w:rPr>
                <w:rFonts w:ascii="Arial" w:hAnsi="Arial" w:cs="Arial"/>
                <w:sz w:val="24"/>
                <w:szCs w:val="24"/>
              </w:rPr>
              <w:t>%</w:t>
            </w:r>
          </w:p>
        </w:tc>
      </w:tr>
    </w:tbl>
    <w:p w:rsidR="00A20847" w:rsidRDefault="00A20847" w:rsidP="00A20847">
      <w:pPr>
        <w:spacing w:after="0" w:line="240" w:lineRule="auto"/>
        <w:jc w:val="both"/>
        <w:rPr>
          <w:rFonts w:ascii="Arial" w:hAnsi="Arial" w:cs="Arial"/>
          <w:sz w:val="24"/>
          <w:szCs w:val="24"/>
        </w:rPr>
      </w:pPr>
    </w:p>
    <w:p w:rsidR="00A20847" w:rsidRPr="00E56AAB" w:rsidRDefault="00A20847" w:rsidP="00A20847">
      <w:pPr>
        <w:spacing w:after="0" w:line="240" w:lineRule="auto"/>
        <w:jc w:val="both"/>
        <w:rPr>
          <w:rFonts w:ascii="Arial" w:hAnsi="Arial" w:cs="Arial"/>
          <w:b/>
          <w:sz w:val="24"/>
          <w:szCs w:val="24"/>
        </w:rPr>
      </w:pPr>
      <w:r w:rsidRPr="00E56AAB">
        <w:rPr>
          <w:rFonts w:ascii="Arial" w:hAnsi="Arial" w:cs="Arial"/>
          <w:b/>
          <w:sz w:val="24"/>
          <w:szCs w:val="24"/>
        </w:rPr>
        <w:t>What is the Gender Pay Gap?</w:t>
      </w:r>
    </w:p>
    <w:p w:rsidR="00A20847" w:rsidRDefault="00A20847" w:rsidP="00A20847">
      <w:pPr>
        <w:spacing w:after="0" w:line="240" w:lineRule="auto"/>
        <w:jc w:val="both"/>
        <w:rPr>
          <w:rFonts w:ascii="Arial" w:hAnsi="Arial" w:cs="Arial"/>
          <w:sz w:val="24"/>
          <w:szCs w:val="24"/>
        </w:rPr>
      </w:pPr>
      <w:r>
        <w:rPr>
          <w:rFonts w:ascii="Arial" w:hAnsi="Arial" w:cs="Arial"/>
          <w:sz w:val="24"/>
          <w:szCs w:val="24"/>
        </w:rPr>
        <w:t>The Gender Pay Gap is an equality measure that shows the difference in average earnings between women and men.</w:t>
      </w:r>
    </w:p>
    <w:p w:rsidR="00A20847" w:rsidRDefault="00A20847" w:rsidP="00A20847">
      <w:pPr>
        <w:spacing w:after="0" w:line="240" w:lineRule="auto"/>
        <w:jc w:val="both"/>
        <w:rPr>
          <w:rFonts w:ascii="Arial" w:hAnsi="Arial" w:cs="Arial"/>
          <w:sz w:val="24"/>
          <w:szCs w:val="24"/>
        </w:rPr>
      </w:pPr>
    </w:p>
    <w:p w:rsidR="00A20847" w:rsidRDefault="00A20847" w:rsidP="00A20847">
      <w:pPr>
        <w:spacing w:after="0" w:line="240" w:lineRule="auto"/>
        <w:jc w:val="both"/>
        <w:rPr>
          <w:rFonts w:ascii="Arial" w:hAnsi="Arial" w:cs="Arial"/>
          <w:sz w:val="24"/>
          <w:szCs w:val="24"/>
        </w:rPr>
      </w:pPr>
      <w:r w:rsidRPr="00D27CCD">
        <w:rPr>
          <w:rFonts w:ascii="Arial" w:hAnsi="Arial" w:cs="Arial"/>
          <w:sz w:val="24"/>
          <w:szCs w:val="24"/>
        </w:rPr>
        <w:t xml:space="preserve">Myerscough College </w:t>
      </w:r>
      <w:r>
        <w:rPr>
          <w:rFonts w:ascii="Arial" w:hAnsi="Arial" w:cs="Arial"/>
          <w:sz w:val="24"/>
          <w:szCs w:val="24"/>
        </w:rPr>
        <w:t>is</w:t>
      </w:r>
      <w:r w:rsidRPr="00D27CCD">
        <w:rPr>
          <w:rFonts w:ascii="Arial" w:hAnsi="Arial" w:cs="Arial"/>
          <w:sz w:val="24"/>
          <w:szCs w:val="24"/>
        </w:rPr>
        <w:t xml:space="preserve"> an employer required by law</w:t>
      </w:r>
      <w:r w:rsidRPr="00D27CCD">
        <w:rPr>
          <w:rFonts w:ascii="Arial" w:hAnsi="Arial" w:cs="Arial"/>
          <w:b/>
          <w:sz w:val="24"/>
          <w:szCs w:val="24"/>
        </w:rPr>
        <w:t xml:space="preserve"> </w:t>
      </w:r>
      <w:r w:rsidRPr="006621CA">
        <w:rPr>
          <w:rFonts w:ascii="Arial" w:hAnsi="Arial" w:cs="Arial"/>
          <w:sz w:val="24"/>
          <w:szCs w:val="24"/>
        </w:rPr>
        <w:t>to</w:t>
      </w:r>
      <w:r w:rsidRPr="00D27CCD">
        <w:rPr>
          <w:rFonts w:ascii="Arial" w:hAnsi="Arial" w:cs="Arial"/>
          <w:sz w:val="24"/>
          <w:szCs w:val="24"/>
        </w:rPr>
        <w:t xml:space="preserve"> carry out Gender Pay Reporting under the Equality Act 2010 (Gender Pay Gap Information) Regulations 2017.</w:t>
      </w:r>
      <w:r>
        <w:rPr>
          <w:rFonts w:ascii="Arial" w:hAnsi="Arial" w:cs="Arial"/>
          <w:sz w:val="24"/>
          <w:szCs w:val="24"/>
        </w:rPr>
        <w:t xml:space="preserve"> </w:t>
      </w:r>
      <w:r w:rsidRPr="00D27CCD">
        <w:rPr>
          <w:rFonts w:ascii="Arial" w:hAnsi="Arial" w:cs="Arial"/>
          <w:sz w:val="24"/>
          <w:szCs w:val="24"/>
        </w:rPr>
        <w:t>This involves carrying out six calculations that show the difference between the average earnings of men and women in our organisation; it will not involve publishing individual employee</w:t>
      </w:r>
      <w:r>
        <w:rPr>
          <w:rFonts w:ascii="Arial" w:hAnsi="Arial" w:cs="Arial"/>
          <w:sz w:val="24"/>
          <w:szCs w:val="24"/>
        </w:rPr>
        <w:t>’</w:t>
      </w:r>
      <w:r w:rsidRPr="00D27CCD">
        <w:rPr>
          <w:rFonts w:ascii="Arial" w:hAnsi="Arial" w:cs="Arial"/>
          <w:sz w:val="24"/>
          <w:szCs w:val="24"/>
        </w:rPr>
        <w:t>s data.</w:t>
      </w:r>
    </w:p>
    <w:p w:rsidR="00A20847" w:rsidRDefault="00A20847" w:rsidP="00A20847">
      <w:pPr>
        <w:shd w:val="clear" w:color="auto" w:fill="FFFFFF"/>
        <w:spacing w:before="100" w:beforeAutospacing="1" w:after="168" w:line="240" w:lineRule="auto"/>
        <w:jc w:val="both"/>
        <w:rPr>
          <w:rFonts w:ascii="Arial" w:eastAsia="Times New Roman" w:hAnsi="Arial" w:cs="Arial"/>
          <w:color w:val="000000"/>
          <w:sz w:val="24"/>
          <w:szCs w:val="24"/>
          <w:lang w:eastAsia="en-GB"/>
        </w:rPr>
      </w:pPr>
      <w:r w:rsidRPr="00813119">
        <w:rPr>
          <w:rFonts w:ascii="Arial" w:eastAsia="Times New Roman" w:hAnsi="Arial" w:cs="Arial"/>
          <w:color w:val="000000"/>
          <w:sz w:val="24"/>
          <w:szCs w:val="24"/>
          <w:lang w:eastAsia="en-GB"/>
        </w:rPr>
        <w:t>Gender pay reporting is a different requirement to carrying out an equal pay audit.</w:t>
      </w:r>
    </w:p>
    <w:p w:rsidR="00A20847" w:rsidRPr="00760848" w:rsidRDefault="00A20847" w:rsidP="00A20847">
      <w:pPr>
        <w:pStyle w:val="NormalWeb"/>
        <w:shd w:val="clear" w:color="auto" w:fill="FFFFFF"/>
        <w:jc w:val="both"/>
        <w:rPr>
          <w:rFonts w:ascii="Arial" w:hAnsi="Arial" w:cs="Arial"/>
          <w:color w:val="000000"/>
        </w:rPr>
      </w:pPr>
      <w:r w:rsidRPr="00760848">
        <w:rPr>
          <w:rFonts w:ascii="Arial" w:hAnsi="Arial" w:cs="Arial"/>
          <w:color w:val="000000"/>
        </w:rPr>
        <w:t>Equal pay deals with the pay </w:t>
      </w:r>
      <w:r w:rsidRPr="00760848">
        <w:rPr>
          <w:rStyle w:val="Strong"/>
          <w:rFonts w:ascii="Arial" w:hAnsi="Arial" w:cs="Arial"/>
          <w:color w:val="000000"/>
        </w:rPr>
        <w:t>differences between men and women who carry out the same jobs, similar jobs or work of equal value</w:t>
      </w:r>
      <w:r w:rsidRPr="00760848">
        <w:rPr>
          <w:rFonts w:ascii="Arial" w:hAnsi="Arial" w:cs="Arial"/>
          <w:color w:val="000000"/>
        </w:rPr>
        <w:t>. It is unlawful to pay people unequally because they are a man or a woman.</w:t>
      </w:r>
    </w:p>
    <w:p w:rsidR="00A20847" w:rsidRDefault="00A20847" w:rsidP="00A20847">
      <w:pPr>
        <w:pStyle w:val="NormalWeb"/>
        <w:shd w:val="clear" w:color="auto" w:fill="FFFFFF"/>
        <w:jc w:val="both"/>
        <w:rPr>
          <w:rFonts w:ascii="Arial" w:hAnsi="Arial" w:cs="Arial"/>
        </w:rPr>
      </w:pPr>
      <w:r w:rsidRPr="00B073AA">
        <w:rPr>
          <w:rFonts w:ascii="Arial" w:hAnsi="Arial" w:cs="Arial"/>
        </w:rPr>
        <w:t xml:space="preserve">The gender pay gap shows the </w:t>
      </w:r>
      <w:r w:rsidRPr="00B073AA">
        <w:rPr>
          <w:rFonts w:ascii="Arial" w:hAnsi="Arial" w:cs="Arial"/>
          <w:b/>
        </w:rPr>
        <w:t>difference between the average</w:t>
      </w:r>
      <w:r w:rsidRPr="00B073AA">
        <w:rPr>
          <w:rFonts w:ascii="Arial" w:hAnsi="Arial" w:cs="Arial"/>
        </w:rPr>
        <w:t xml:space="preserve"> (mean or median) earnings </w:t>
      </w:r>
      <w:r w:rsidRPr="00B073AA">
        <w:rPr>
          <w:rFonts w:ascii="Arial" w:hAnsi="Arial" w:cs="Arial"/>
          <w:b/>
        </w:rPr>
        <w:t>of men and women</w:t>
      </w:r>
      <w:r>
        <w:rPr>
          <w:rFonts w:ascii="Arial" w:hAnsi="Arial" w:cs="Arial"/>
        </w:rPr>
        <w:t>. These are</w:t>
      </w:r>
      <w:r w:rsidR="004977D3">
        <w:rPr>
          <w:rFonts w:ascii="Arial" w:hAnsi="Arial" w:cs="Arial"/>
        </w:rPr>
        <w:t xml:space="preserve"> </w:t>
      </w:r>
      <w:r w:rsidR="006F01A0">
        <w:rPr>
          <w:rFonts w:ascii="Arial" w:hAnsi="Arial" w:cs="Arial"/>
        </w:rPr>
        <w:t>e</w:t>
      </w:r>
      <w:r w:rsidRPr="00B073AA">
        <w:rPr>
          <w:rFonts w:ascii="Arial" w:hAnsi="Arial" w:cs="Arial"/>
        </w:rPr>
        <w:t xml:space="preserve">xpressed as a percentage of men’s earnings. </w:t>
      </w:r>
    </w:p>
    <w:p w:rsidR="00A20847" w:rsidRDefault="00A20847" w:rsidP="00A20847">
      <w:pPr>
        <w:pStyle w:val="NormalWeb"/>
        <w:shd w:val="clear" w:color="auto" w:fill="FFFFFF"/>
        <w:spacing w:before="0" w:beforeAutospacing="0" w:after="0" w:afterAutospacing="0"/>
        <w:jc w:val="both"/>
        <w:rPr>
          <w:rFonts w:ascii="Arial" w:hAnsi="Arial" w:cs="Arial"/>
        </w:rPr>
      </w:pPr>
      <w:r w:rsidRPr="00FB09AE">
        <w:rPr>
          <w:rFonts w:ascii="Arial" w:hAnsi="Arial" w:cs="Arial"/>
          <w:b/>
        </w:rPr>
        <w:t>The mean gender pay gap:</w:t>
      </w:r>
      <w:r w:rsidRPr="00FB09AE">
        <w:rPr>
          <w:rFonts w:ascii="Arial" w:hAnsi="Arial" w:cs="Arial"/>
        </w:rPr>
        <w:t xml:space="preserve"> </w:t>
      </w:r>
    </w:p>
    <w:p w:rsidR="00A20847" w:rsidRDefault="00A20847" w:rsidP="00A20847">
      <w:pPr>
        <w:pStyle w:val="NormalWeb"/>
        <w:shd w:val="clear" w:color="auto" w:fill="FFFFFF"/>
        <w:spacing w:before="0" w:beforeAutospacing="0" w:after="0" w:afterAutospacing="0"/>
        <w:jc w:val="both"/>
        <w:rPr>
          <w:rFonts w:ascii="Arial" w:hAnsi="Arial" w:cs="Arial"/>
        </w:rPr>
      </w:pPr>
      <w:r w:rsidRPr="00FB09AE">
        <w:rPr>
          <w:rFonts w:ascii="Arial" w:hAnsi="Arial" w:cs="Arial"/>
        </w:rPr>
        <w:t>This calculation show</w:t>
      </w:r>
      <w:r>
        <w:rPr>
          <w:rFonts w:ascii="Arial" w:hAnsi="Arial" w:cs="Arial"/>
        </w:rPr>
        <w:t>s</w:t>
      </w:r>
      <w:r w:rsidRPr="00FB09AE">
        <w:rPr>
          <w:rFonts w:ascii="Arial" w:hAnsi="Arial" w:cs="Arial"/>
        </w:rPr>
        <w:t xml:space="preserve"> the difference between the mean hourly rate of pay that male and female full-pay relevant employees receive</w:t>
      </w:r>
      <w:r>
        <w:rPr>
          <w:rFonts w:ascii="Arial" w:hAnsi="Arial" w:cs="Arial"/>
        </w:rPr>
        <w:t>.</w:t>
      </w:r>
    </w:p>
    <w:p w:rsidR="00A20847" w:rsidRDefault="00A20847" w:rsidP="00A20847">
      <w:pPr>
        <w:pStyle w:val="NormalWeb"/>
        <w:shd w:val="clear" w:color="auto" w:fill="FFFFFF"/>
        <w:spacing w:before="0" w:beforeAutospacing="0" w:after="0" w:afterAutospacing="0"/>
        <w:jc w:val="both"/>
        <w:rPr>
          <w:rFonts w:ascii="Arial" w:hAnsi="Arial" w:cs="Arial"/>
        </w:rPr>
      </w:pPr>
    </w:p>
    <w:p w:rsidR="00A20847" w:rsidRDefault="00A20847" w:rsidP="00A20847">
      <w:pPr>
        <w:pStyle w:val="NormalWeb"/>
        <w:shd w:val="clear" w:color="auto" w:fill="FFFFFF"/>
        <w:spacing w:before="0" w:beforeAutospacing="0" w:after="0" w:afterAutospacing="0"/>
        <w:jc w:val="both"/>
        <w:rPr>
          <w:rFonts w:ascii="Arial" w:hAnsi="Arial" w:cs="Arial"/>
        </w:rPr>
      </w:pPr>
      <w:r>
        <w:rPr>
          <w:rFonts w:ascii="Arial" w:hAnsi="Arial" w:cs="Arial"/>
        </w:rPr>
        <w:t xml:space="preserve">The Myerscough College mean </w:t>
      </w:r>
      <w:proofErr w:type="gramStart"/>
      <w:r>
        <w:rPr>
          <w:rFonts w:ascii="Arial" w:hAnsi="Arial" w:cs="Arial"/>
        </w:rPr>
        <w:t>gender pay gap figure</w:t>
      </w:r>
      <w:proofErr w:type="gramEnd"/>
      <w:r>
        <w:rPr>
          <w:rFonts w:ascii="Arial" w:hAnsi="Arial" w:cs="Arial"/>
        </w:rPr>
        <w:t xml:space="preserve"> indicates, on average, female employees are paid </w:t>
      </w:r>
      <w:r w:rsidR="003A6664" w:rsidRPr="006F01A0">
        <w:rPr>
          <w:rFonts w:ascii="Arial" w:hAnsi="Arial" w:cs="Arial"/>
        </w:rPr>
        <w:t>15.3%</w:t>
      </w:r>
      <w:r w:rsidR="003A6664">
        <w:rPr>
          <w:rFonts w:ascii="Arial" w:hAnsi="Arial" w:cs="Arial"/>
        </w:rPr>
        <w:t xml:space="preserve"> </w:t>
      </w:r>
      <w:r w:rsidRPr="00E175FD">
        <w:rPr>
          <w:rFonts w:ascii="Arial" w:hAnsi="Arial" w:cs="Arial"/>
        </w:rPr>
        <w:t xml:space="preserve">per hour </w:t>
      </w:r>
      <w:r>
        <w:rPr>
          <w:rFonts w:ascii="Arial" w:hAnsi="Arial" w:cs="Arial"/>
        </w:rPr>
        <w:t>less than male employees.</w:t>
      </w:r>
    </w:p>
    <w:p w:rsidR="00A20847" w:rsidRDefault="00A20847" w:rsidP="00A20847">
      <w:pPr>
        <w:pStyle w:val="NormalWeb"/>
        <w:shd w:val="clear" w:color="auto" w:fill="FFFFFF"/>
        <w:spacing w:before="0" w:beforeAutospacing="0" w:after="0" w:afterAutospacing="0"/>
        <w:jc w:val="both"/>
        <w:rPr>
          <w:rFonts w:ascii="Arial" w:hAnsi="Arial" w:cs="Arial"/>
        </w:rPr>
      </w:pPr>
    </w:p>
    <w:p w:rsidR="004B6F23" w:rsidRDefault="004B6F23" w:rsidP="00A20847">
      <w:pPr>
        <w:pStyle w:val="NormalWeb"/>
        <w:shd w:val="clear" w:color="auto" w:fill="FFFFFF"/>
        <w:spacing w:before="0" w:beforeAutospacing="0" w:after="0" w:afterAutospacing="0"/>
        <w:jc w:val="both"/>
        <w:rPr>
          <w:rFonts w:ascii="Arial" w:hAnsi="Arial" w:cs="Arial"/>
        </w:rPr>
      </w:pPr>
    </w:p>
    <w:p w:rsidR="004B6F23" w:rsidRDefault="004B6F23" w:rsidP="00A20847">
      <w:pPr>
        <w:pStyle w:val="NormalWeb"/>
        <w:shd w:val="clear" w:color="auto" w:fill="FFFFFF"/>
        <w:spacing w:before="0" w:beforeAutospacing="0" w:after="0" w:afterAutospacing="0"/>
        <w:jc w:val="both"/>
        <w:rPr>
          <w:rFonts w:ascii="Arial" w:hAnsi="Arial" w:cs="Arial"/>
        </w:rPr>
      </w:pPr>
    </w:p>
    <w:p w:rsidR="00A20847" w:rsidRDefault="00A20847" w:rsidP="00A20847">
      <w:pPr>
        <w:pStyle w:val="NormalWeb"/>
        <w:shd w:val="clear" w:color="auto" w:fill="FFFFFF"/>
        <w:spacing w:before="0" w:beforeAutospacing="0" w:after="0" w:afterAutospacing="0"/>
        <w:jc w:val="both"/>
        <w:rPr>
          <w:rFonts w:ascii="Arial" w:hAnsi="Arial" w:cs="Arial"/>
        </w:rPr>
      </w:pPr>
      <w:r w:rsidRPr="00FB09AE">
        <w:rPr>
          <w:rFonts w:ascii="Arial" w:hAnsi="Arial" w:cs="Arial"/>
          <w:b/>
        </w:rPr>
        <w:lastRenderedPageBreak/>
        <w:t>The median gender pay gap:</w:t>
      </w:r>
      <w:r w:rsidRPr="00FB09AE">
        <w:rPr>
          <w:rFonts w:ascii="Arial" w:hAnsi="Arial" w:cs="Arial"/>
        </w:rPr>
        <w:t xml:space="preserve"> </w:t>
      </w:r>
    </w:p>
    <w:p w:rsidR="00A20847" w:rsidRDefault="00A20847" w:rsidP="00A20847">
      <w:pPr>
        <w:pStyle w:val="NormalWeb"/>
        <w:shd w:val="clear" w:color="auto" w:fill="FFFFFF"/>
        <w:spacing w:before="0" w:beforeAutospacing="0" w:after="0" w:afterAutospacing="0"/>
        <w:jc w:val="both"/>
        <w:rPr>
          <w:rFonts w:ascii="Arial" w:hAnsi="Arial" w:cs="Arial"/>
        </w:rPr>
      </w:pPr>
      <w:r w:rsidRPr="00FB09AE">
        <w:rPr>
          <w:rFonts w:ascii="Arial" w:hAnsi="Arial" w:cs="Arial"/>
        </w:rPr>
        <w:t xml:space="preserve">This calculation </w:t>
      </w:r>
      <w:r>
        <w:rPr>
          <w:rFonts w:ascii="Arial" w:hAnsi="Arial" w:cs="Arial"/>
        </w:rPr>
        <w:t xml:space="preserve">shows </w:t>
      </w:r>
      <w:r w:rsidRPr="00FB09AE">
        <w:rPr>
          <w:rFonts w:ascii="Arial" w:hAnsi="Arial" w:cs="Arial"/>
        </w:rPr>
        <w:t xml:space="preserve">the difference between the median hourly </w:t>
      </w:r>
      <w:proofErr w:type="gramStart"/>
      <w:r w:rsidRPr="00FB09AE">
        <w:rPr>
          <w:rFonts w:ascii="Arial" w:hAnsi="Arial" w:cs="Arial"/>
        </w:rPr>
        <w:t>rate</w:t>
      </w:r>
      <w:proofErr w:type="gramEnd"/>
      <w:r w:rsidRPr="00FB09AE">
        <w:rPr>
          <w:rFonts w:ascii="Arial" w:hAnsi="Arial" w:cs="Arial"/>
        </w:rPr>
        <w:t xml:space="preserve"> of pay that male and female full-pay relevant employees receive</w:t>
      </w:r>
    </w:p>
    <w:p w:rsidR="00A20847" w:rsidRDefault="00A20847" w:rsidP="00A20847">
      <w:pPr>
        <w:pStyle w:val="NormalWeb"/>
        <w:shd w:val="clear" w:color="auto" w:fill="FFFFFF"/>
        <w:spacing w:before="0" w:beforeAutospacing="0" w:after="0" w:afterAutospacing="0"/>
        <w:jc w:val="both"/>
        <w:rPr>
          <w:rFonts w:ascii="Arial" w:hAnsi="Arial" w:cs="Arial"/>
        </w:rPr>
      </w:pPr>
    </w:p>
    <w:p w:rsidR="00A20847" w:rsidRDefault="00A20847" w:rsidP="00A20847">
      <w:pPr>
        <w:pStyle w:val="NormalWeb"/>
        <w:shd w:val="clear" w:color="auto" w:fill="FFFFFF"/>
        <w:spacing w:before="0" w:beforeAutospacing="0" w:after="0" w:afterAutospacing="0"/>
        <w:jc w:val="both"/>
        <w:rPr>
          <w:rFonts w:ascii="Arial" w:hAnsi="Arial" w:cs="Arial"/>
        </w:rPr>
      </w:pPr>
      <w:r>
        <w:rPr>
          <w:rFonts w:ascii="Arial" w:hAnsi="Arial" w:cs="Arial"/>
        </w:rPr>
        <w:t xml:space="preserve">The Myerscough College median </w:t>
      </w:r>
      <w:proofErr w:type="gramStart"/>
      <w:r>
        <w:rPr>
          <w:rFonts w:ascii="Arial" w:hAnsi="Arial" w:cs="Arial"/>
        </w:rPr>
        <w:t>gender pay gap figure</w:t>
      </w:r>
      <w:proofErr w:type="gramEnd"/>
      <w:r>
        <w:rPr>
          <w:rFonts w:ascii="Arial" w:hAnsi="Arial" w:cs="Arial"/>
        </w:rPr>
        <w:t xml:space="preserve"> indicates, on average, female employees are paid </w:t>
      </w:r>
      <w:r w:rsidR="00D1355A" w:rsidRPr="006F01A0">
        <w:rPr>
          <w:rFonts w:ascii="Arial" w:hAnsi="Arial" w:cs="Arial"/>
        </w:rPr>
        <w:t>2</w:t>
      </w:r>
      <w:r w:rsidRPr="006F01A0">
        <w:rPr>
          <w:rFonts w:ascii="Arial" w:hAnsi="Arial" w:cs="Arial"/>
        </w:rPr>
        <w:t>8.</w:t>
      </w:r>
      <w:r w:rsidR="00D1355A" w:rsidRPr="006F01A0">
        <w:rPr>
          <w:rFonts w:ascii="Arial" w:hAnsi="Arial" w:cs="Arial"/>
        </w:rPr>
        <w:t>0</w:t>
      </w:r>
      <w:r w:rsidRPr="006F01A0">
        <w:rPr>
          <w:rFonts w:ascii="Arial" w:hAnsi="Arial" w:cs="Arial"/>
        </w:rPr>
        <w:t>%</w:t>
      </w:r>
      <w:r w:rsidRPr="00E175FD">
        <w:rPr>
          <w:rFonts w:ascii="Arial" w:hAnsi="Arial" w:cs="Arial"/>
        </w:rPr>
        <w:t xml:space="preserve"> per hour </w:t>
      </w:r>
      <w:r>
        <w:rPr>
          <w:rFonts w:ascii="Arial" w:hAnsi="Arial" w:cs="Arial"/>
        </w:rPr>
        <w:t>less than male employees.</w:t>
      </w:r>
    </w:p>
    <w:p w:rsidR="00A20847" w:rsidRDefault="00A20847" w:rsidP="00A20847">
      <w:pPr>
        <w:pStyle w:val="NormalWeb"/>
        <w:shd w:val="clear" w:color="auto" w:fill="FFFFFF"/>
        <w:spacing w:before="0" w:beforeAutospacing="0" w:after="0" w:afterAutospacing="0"/>
        <w:jc w:val="both"/>
        <w:rPr>
          <w:rFonts w:ascii="Arial" w:hAnsi="Arial" w:cs="Arial"/>
        </w:rPr>
      </w:pPr>
    </w:p>
    <w:p w:rsidR="00A20847" w:rsidRDefault="00A20847" w:rsidP="00A20847">
      <w:pPr>
        <w:pStyle w:val="NormalWeb"/>
        <w:shd w:val="clear" w:color="auto" w:fill="FFFFFF"/>
        <w:spacing w:before="0" w:beforeAutospacing="0" w:after="0" w:afterAutospacing="0"/>
        <w:jc w:val="both"/>
        <w:rPr>
          <w:rFonts w:ascii="Arial" w:hAnsi="Arial" w:cs="Arial"/>
        </w:rPr>
      </w:pPr>
      <w:r>
        <w:rPr>
          <w:rFonts w:ascii="Arial" w:hAnsi="Arial" w:cs="Arial"/>
        </w:rPr>
        <w:t>Using these two different types of average is helpful to give a more balanced overview of an employer’s overall gender pay gap.</w:t>
      </w:r>
    </w:p>
    <w:p w:rsidR="00A20847" w:rsidRDefault="00A20847" w:rsidP="00A20847">
      <w:pPr>
        <w:pStyle w:val="NormalWeb"/>
        <w:shd w:val="clear" w:color="auto" w:fill="FFFFFF"/>
        <w:spacing w:before="0" w:beforeAutospacing="0" w:after="0" w:afterAutospacing="0"/>
        <w:jc w:val="both"/>
        <w:rPr>
          <w:rFonts w:ascii="Arial" w:hAnsi="Arial" w:cs="Arial"/>
        </w:rPr>
      </w:pPr>
    </w:p>
    <w:p w:rsidR="00A20847" w:rsidRPr="00FB09AE" w:rsidRDefault="00A20847" w:rsidP="00A20847">
      <w:pPr>
        <w:pStyle w:val="NormalWeb"/>
        <w:shd w:val="clear" w:color="auto" w:fill="FFFFFF"/>
        <w:spacing w:before="0" w:beforeAutospacing="0" w:after="0" w:afterAutospacing="0"/>
        <w:jc w:val="both"/>
        <w:rPr>
          <w:rFonts w:ascii="Arial" w:hAnsi="Arial" w:cs="Arial"/>
          <w:color w:val="000000"/>
        </w:rPr>
      </w:pPr>
      <w:r>
        <w:rPr>
          <w:rFonts w:ascii="Arial" w:hAnsi="Arial" w:cs="Arial"/>
          <w:b/>
        </w:rPr>
        <w:t>Quartiles</w:t>
      </w:r>
    </w:p>
    <w:p w:rsidR="001C3409" w:rsidRDefault="001C3409" w:rsidP="00A20847">
      <w:pPr>
        <w:pStyle w:val="NormalWeb"/>
        <w:shd w:val="clear" w:color="auto" w:fill="FFFFFF"/>
        <w:spacing w:before="0" w:beforeAutospacing="0" w:after="0" w:afterAutospacing="0"/>
        <w:jc w:val="both"/>
        <w:rPr>
          <w:rFonts w:ascii="Arial" w:hAnsi="Arial" w:cs="Arial"/>
        </w:rPr>
      </w:pPr>
      <w:r>
        <w:rPr>
          <w:rFonts w:ascii="Arial" w:hAnsi="Arial" w:cs="Arial"/>
        </w:rPr>
        <w:t>Comparing the two results in each quartile will indicate the distribution of male and female employees in the quartile.  Comparing results between the quartiles will indicate the distribution of male and female employees across the College</w:t>
      </w:r>
    </w:p>
    <w:p w:rsidR="005A31AD" w:rsidRDefault="005A31AD">
      <w:pPr>
        <w:rPr>
          <w:rFonts w:ascii="Arial" w:hAnsi="Arial" w:cs="Arial"/>
          <w:sz w:val="24"/>
          <w:szCs w:val="24"/>
        </w:rPr>
      </w:pPr>
    </w:p>
    <w:p w:rsidR="005A31AD" w:rsidRDefault="0079603C" w:rsidP="004977D3">
      <w:pPr>
        <w:jc w:val="both"/>
        <w:rPr>
          <w:rFonts w:ascii="Arial" w:hAnsi="Arial" w:cs="Arial"/>
          <w:sz w:val="24"/>
          <w:szCs w:val="24"/>
        </w:rPr>
      </w:pPr>
      <w:r>
        <w:rPr>
          <w:rFonts w:ascii="Arial" w:hAnsi="Arial" w:cs="Arial"/>
          <w:sz w:val="24"/>
          <w:szCs w:val="24"/>
        </w:rPr>
        <w:t>T</w:t>
      </w:r>
      <w:r w:rsidR="005A31AD">
        <w:rPr>
          <w:rFonts w:ascii="Arial" w:hAnsi="Arial" w:cs="Arial"/>
          <w:sz w:val="24"/>
          <w:szCs w:val="24"/>
        </w:rPr>
        <w:t>he College offer flexible working arrangements</w:t>
      </w:r>
      <w:r>
        <w:rPr>
          <w:rFonts w:ascii="Arial" w:hAnsi="Arial" w:cs="Arial"/>
          <w:sz w:val="24"/>
          <w:szCs w:val="24"/>
        </w:rPr>
        <w:t xml:space="preserve"> (term time only, part time hours)</w:t>
      </w:r>
      <w:r w:rsidR="005A31AD">
        <w:rPr>
          <w:rFonts w:ascii="Arial" w:hAnsi="Arial" w:cs="Arial"/>
          <w:sz w:val="24"/>
          <w:szCs w:val="24"/>
        </w:rPr>
        <w:t xml:space="preserve"> in various lower paid support </w:t>
      </w:r>
      <w:r>
        <w:rPr>
          <w:rFonts w:ascii="Arial" w:hAnsi="Arial" w:cs="Arial"/>
          <w:sz w:val="24"/>
          <w:szCs w:val="24"/>
        </w:rPr>
        <w:t>roles, which, in the main, attract female employees.  This is also true of the diversity offered to employees in respect of childcare and caring responsibilities</w:t>
      </w:r>
      <w:r w:rsidR="005A31AD">
        <w:rPr>
          <w:rFonts w:ascii="Arial" w:hAnsi="Arial" w:cs="Arial"/>
          <w:sz w:val="24"/>
          <w:szCs w:val="24"/>
        </w:rPr>
        <w:t xml:space="preserve"> </w:t>
      </w:r>
    </w:p>
    <w:p w:rsidR="008F4106" w:rsidRPr="005A31AD" w:rsidRDefault="008F4106" w:rsidP="004977D3">
      <w:pPr>
        <w:jc w:val="both"/>
        <w:rPr>
          <w:rFonts w:ascii="Arial" w:hAnsi="Arial" w:cs="Arial"/>
          <w:sz w:val="24"/>
          <w:szCs w:val="24"/>
        </w:rPr>
      </w:pPr>
      <w:r>
        <w:rPr>
          <w:rFonts w:ascii="Arial" w:hAnsi="Arial" w:cs="Arial"/>
          <w:sz w:val="24"/>
          <w:szCs w:val="24"/>
        </w:rPr>
        <w:t xml:space="preserve">Whilst the College have outsourced the cleaning services, the catering service </w:t>
      </w:r>
      <w:r w:rsidR="004977D3">
        <w:rPr>
          <w:rFonts w:ascii="Arial" w:hAnsi="Arial" w:cs="Arial"/>
          <w:sz w:val="24"/>
          <w:szCs w:val="24"/>
        </w:rPr>
        <w:t xml:space="preserve">remains to </w:t>
      </w:r>
      <w:proofErr w:type="gramStart"/>
      <w:r w:rsidR="004977D3">
        <w:rPr>
          <w:rFonts w:ascii="Arial" w:hAnsi="Arial" w:cs="Arial"/>
          <w:sz w:val="24"/>
          <w:szCs w:val="24"/>
        </w:rPr>
        <w:t>be delivered</w:t>
      </w:r>
      <w:proofErr w:type="gramEnd"/>
      <w:r>
        <w:rPr>
          <w:rFonts w:ascii="Arial" w:hAnsi="Arial" w:cs="Arial"/>
          <w:sz w:val="24"/>
          <w:szCs w:val="24"/>
        </w:rPr>
        <w:t xml:space="preserve"> in house and the team includes casual students.</w:t>
      </w:r>
    </w:p>
    <w:p w:rsidR="004B6F23" w:rsidRDefault="008F4106" w:rsidP="004977D3">
      <w:pPr>
        <w:jc w:val="both"/>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is</w:t>
      </w:r>
      <w:r w:rsidR="004977D3">
        <w:rPr>
          <w:rFonts w:ascii="Arial" w:hAnsi="Arial" w:cs="Arial"/>
          <w:sz w:val="24"/>
          <w:szCs w:val="24"/>
        </w:rPr>
        <w:t>,</w:t>
      </w:r>
      <w:r>
        <w:rPr>
          <w:rFonts w:ascii="Arial" w:hAnsi="Arial" w:cs="Arial"/>
          <w:sz w:val="24"/>
          <w:szCs w:val="24"/>
        </w:rPr>
        <w:t xml:space="preserve"> therefore</w:t>
      </w:r>
      <w:r w:rsidR="004977D3">
        <w:rPr>
          <w:rFonts w:ascii="Arial" w:hAnsi="Arial" w:cs="Arial"/>
          <w:sz w:val="24"/>
          <w:szCs w:val="24"/>
        </w:rPr>
        <w:t>,</w:t>
      </w:r>
      <w:r>
        <w:rPr>
          <w:rFonts w:ascii="Arial" w:hAnsi="Arial" w:cs="Arial"/>
          <w:sz w:val="24"/>
          <w:szCs w:val="24"/>
        </w:rPr>
        <w:t xml:space="preserve"> acknowledged</w:t>
      </w:r>
      <w:proofErr w:type="gramEnd"/>
      <w:r>
        <w:rPr>
          <w:rFonts w:ascii="Arial" w:hAnsi="Arial" w:cs="Arial"/>
          <w:sz w:val="24"/>
          <w:szCs w:val="24"/>
        </w:rPr>
        <w:t xml:space="preserve"> that this affects the Lower and Lower Middle quartiles.  </w:t>
      </w:r>
    </w:p>
    <w:p w:rsidR="008F4106" w:rsidRPr="008F4106" w:rsidRDefault="008F4106">
      <w:pPr>
        <w:rPr>
          <w:rFonts w:ascii="Arial" w:hAnsi="Arial" w:cs="Arial"/>
          <w:b/>
          <w:sz w:val="24"/>
          <w:szCs w:val="24"/>
        </w:rPr>
      </w:pPr>
      <w:r w:rsidRPr="008F4106">
        <w:rPr>
          <w:rFonts w:ascii="Arial" w:hAnsi="Arial" w:cs="Arial"/>
          <w:b/>
          <w:sz w:val="24"/>
          <w:szCs w:val="24"/>
        </w:rPr>
        <w:t>Moving forward …</w:t>
      </w:r>
    </w:p>
    <w:p w:rsidR="00A12C1D" w:rsidRDefault="008F4106">
      <w:pPr>
        <w:rPr>
          <w:rFonts w:ascii="Arial" w:hAnsi="Arial" w:cs="Arial"/>
          <w:sz w:val="24"/>
          <w:szCs w:val="24"/>
        </w:rPr>
      </w:pPr>
      <w:r>
        <w:rPr>
          <w:rFonts w:ascii="Arial" w:hAnsi="Arial" w:cs="Arial"/>
          <w:sz w:val="24"/>
          <w:szCs w:val="24"/>
        </w:rPr>
        <w:t>The College</w:t>
      </w:r>
      <w:r w:rsidR="004977D3">
        <w:rPr>
          <w:rFonts w:ascii="Arial" w:hAnsi="Arial" w:cs="Arial"/>
          <w:sz w:val="24"/>
          <w:szCs w:val="24"/>
        </w:rPr>
        <w:t xml:space="preserve"> is</w:t>
      </w:r>
      <w:r>
        <w:rPr>
          <w:rFonts w:ascii="Arial" w:hAnsi="Arial" w:cs="Arial"/>
          <w:sz w:val="24"/>
          <w:szCs w:val="24"/>
        </w:rPr>
        <w:t xml:space="preserve"> committed to work</w:t>
      </w:r>
      <w:r w:rsidR="004977D3">
        <w:rPr>
          <w:rFonts w:ascii="Arial" w:hAnsi="Arial" w:cs="Arial"/>
          <w:sz w:val="24"/>
          <w:szCs w:val="24"/>
        </w:rPr>
        <w:t>ing</w:t>
      </w:r>
      <w:r>
        <w:rPr>
          <w:rFonts w:ascii="Arial" w:hAnsi="Arial" w:cs="Arial"/>
          <w:sz w:val="24"/>
          <w:szCs w:val="24"/>
        </w:rPr>
        <w:t xml:space="preserve"> towards the eradi</w:t>
      </w:r>
      <w:r w:rsidR="004977D3">
        <w:rPr>
          <w:rFonts w:ascii="Arial" w:hAnsi="Arial" w:cs="Arial"/>
          <w:sz w:val="24"/>
          <w:szCs w:val="24"/>
        </w:rPr>
        <w:t>cation of the gender pay gap by:</w:t>
      </w:r>
    </w:p>
    <w:p w:rsidR="008F4106" w:rsidRDefault="00A12C1D" w:rsidP="00A12C1D">
      <w:pPr>
        <w:pStyle w:val="ListParagraph"/>
        <w:numPr>
          <w:ilvl w:val="0"/>
          <w:numId w:val="4"/>
        </w:numPr>
        <w:rPr>
          <w:rFonts w:ascii="Arial" w:hAnsi="Arial" w:cs="Arial"/>
          <w:sz w:val="24"/>
          <w:szCs w:val="24"/>
        </w:rPr>
      </w:pPr>
      <w:r>
        <w:rPr>
          <w:rFonts w:ascii="Arial" w:hAnsi="Arial" w:cs="Arial"/>
          <w:sz w:val="24"/>
          <w:szCs w:val="24"/>
        </w:rPr>
        <w:t>Including the Gender Pay Gap agenda</w:t>
      </w:r>
      <w:r w:rsidR="00721DA5">
        <w:rPr>
          <w:rFonts w:ascii="Arial" w:hAnsi="Arial" w:cs="Arial"/>
          <w:sz w:val="24"/>
          <w:szCs w:val="24"/>
        </w:rPr>
        <w:t xml:space="preserve"> </w:t>
      </w:r>
      <w:bookmarkStart w:id="0" w:name="_GoBack"/>
      <w:bookmarkEnd w:id="0"/>
      <w:r w:rsidR="008F405A">
        <w:rPr>
          <w:rFonts w:ascii="Arial" w:hAnsi="Arial" w:cs="Arial"/>
          <w:sz w:val="24"/>
          <w:szCs w:val="24"/>
        </w:rPr>
        <w:t>in</w:t>
      </w:r>
      <w:r>
        <w:rPr>
          <w:rFonts w:ascii="Arial" w:hAnsi="Arial" w:cs="Arial"/>
          <w:sz w:val="24"/>
          <w:szCs w:val="24"/>
        </w:rPr>
        <w:t xml:space="preserve"> the College’s Equality and Diversity action plan.</w:t>
      </w:r>
    </w:p>
    <w:p w:rsidR="00A12C1D" w:rsidRPr="00A12C1D" w:rsidRDefault="00A12C1D" w:rsidP="00A12C1D">
      <w:pPr>
        <w:pStyle w:val="ListParagraph"/>
        <w:numPr>
          <w:ilvl w:val="0"/>
          <w:numId w:val="4"/>
        </w:numPr>
        <w:rPr>
          <w:rFonts w:ascii="Arial" w:hAnsi="Arial" w:cs="Arial"/>
          <w:sz w:val="24"/>
          <w:szCs w:val="24"/>
        </w:rPr>
      </w:pPr>
      <w:r>
        <w:rPr>
          <w:rFonts w:ascii="Arial" w:hAnsi="Arial" w:cs="Arial"/>
          <w:sz w:val="24"/>
          <w:szCs w:val="24"/>
        </w:rPr>
        <w:t>Continue to ensure no barriers are evident in the Recruitment and Selection process, in particular, with reference to unconscious bias awareness for managers/interviewers.</w:t>
      </w:r>
    </w:p>
    <w:p w:rsidR="00A12C1D" w:rsidRDefault="00A12C1D" w:rsidP="00A12C1D">
      <w:pPr>
        <w:pStyle w:val="ListParagraph"/>
        <w:numPr>
          <w:ilvl w:val="0"/>
          <w:numId w:val="4"/>
        </w:numPr>
        <w:rPr>
          <w:rFonts w:ascii="Arial" w:hAnsi="Arial" w:cs="Arial"/>
          <w:sz w:val="24"/>
          <w:szCs w:val="24"/>
        </w:rPr>
      </w:pPr>
      <w:r>
        <w:rPr>
          <w:rFonts w:ascii="Arial" w:hAnsi="Arial" w:cs="Arial"/>
          <w:sz w:val="24"/>
          <w:szCs w:val="24"/>
        </w:rPr>
        <w:t>Continue to offer and support flexible working requests (where business needs allow) to retain talented employees who may have taken a break due to family/carer responsibilities and provide equality of opportunity to achieve career progression on a part time basis, males and females.</w:t>
      </w:r>
    </w:p>
    <w:p w:rsidR="00C457DF" w:rsidRDefault="00C457DF" w:rsidP="00A12C1D">
      <w:pPr>
        <w:pStyle w:val="ListParagraph"/>
        <w:numPr>
          <w:ilvl w:val="0"/>
          <w:numId w:val="4"/>
        </w:numPr>
        <w:rPr>
          <w:rFonts w:ascii="Arial" w:hAnsi="Arial" w:cs="Arial"/>
          <w:sz w:val="24"/>
          <w:szCs w:val="24"/>
        </w:rPr>
      </w:pPr>
      <w:r>
        <w:rPr>
          <w:rFonts w:ascii="Arial" w:hAnsi="Arial" w:cs="Arial"/>
          <w:sz w:val="24"/>
          <w:szCs w:val="24"/>
        </w:rPr>
        <w:t>To review all family friendly policies at the College.</w:t>
      </w:r>
    </w:p>
    <w:p w:rsidR="008F405A" w:rsidRDefault="008F405A" w:rsidP="008F405A">
      <w:pPr>
        <w:pStyle w:val="ListParagraph"/>
        <w:numPr>
          <w:ilvl w:val="0"/>
          <w:numId w:val="4"/>
        </w:numPr>
        <w:rPr>
          <w:rFonts w:ascii="Arial" w:hAnsi="Arial" w:cs="Arial"/>
          <w:sz w:val="24"/>
          <w:szCs w:val="24"/>
        </w:rPr>
      </w:pPr>
      <w:r>
        <w:rPr>
          <w:rFonts w:ascii="Arial" w:hAnsi="Arial" w:cs="Arial"/>
          <w:sz w:val="24"/>
          <w:szCs w:val="24"/>
        </w:rPr>
        <w:t>To work towards exceeding the National Living Wage.</w:t>
      </w:r>
    </w:p>
    <w:p w:rsidR="008F4106" w:rsidRPr="005A31AD" w:rsidRDefault="008F4106">
      <w:pPr>
        <w:rPr>
          <w:rFonts w:ascii="Arial" w:hAnsi="Arial" w:cs="Arial"/>
          <w:sz w:val="24"/>
          <w:szCs w:val="24"/>
        </w:rPr>
      </w:pPr>
    </w:p>
    <w:sectPr w:rsidR="008F4106" w:rsidRPr="005A31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F3" w:rsidRDefault="00E21AF3" w:rsidP="00A20847">
      <w:pPr>
        <w:spacing w:after="0" w:line="240" w:lineRule="auto"/>
      </w:pPr>
      <w:r>
        <w:separator/>
      </w:r>
    </w:p>
  </w:endnote>
  <w:endnote w:type="continuationSeparator" w:id="0">
    <w:p w:rsidR="00E21AF3" w:rsidRDefault="00E21AF3" w:rsidP="00A2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47" w:rsidRDefault="00A20847">
    <w:pPr>
      <w:pStyle w:val="Footer"/>
    </w:pPr>
    <w:proofErr w:type="spellStart"/>
    <w:r>
      <w:t>PersStats</w:t>
    </w:r>
    <w:proofErr w:type="spellEnd"/>
    <w:r>
      <w:t>/Gender Pay Gap Report for Myerscough Website</w:t>
    </w:r>
    <w:r w:rsidR="00344EC5">
      <w:t xml:space="preserve"> </w:t>
    </w:r>
    <w:r w:rsidR="004A4581">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F3" w:rsidRDefault="00E21AF3" w:rsidP="00A20847">
      <w:pPr>
        <w:spacing w:after="0" w:line="240" w:lineRule="auto"/>
      </w:pPr>
      <w:r>
        <w:separator/>
      </w:r>
    </w:p>
  </w:footnote>
  <w:footnote w:type="continuationSeparator" w:id="0">
    <w:p w:rsidR="00E21AF3" w:rsidRDefault="00E21AF3" w:rsidP="00A20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68A"/>
    <w:multiLevelType w:val="hybridMultilevel"/>
    <w:tmpl w:val="2EEECB16"/>
    <w:lvl w:ilvl="0" w:tplc="D6483C72">
      <w:start w:val="4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5474D"/>
    <w:multiLevelType w:val="hybridMultilevel"/>
    <w:tmpl w:val="C7604302"/>
    <w:lvl w:ilvl="0" w:tplc="90F8E716">
      <w:start w:val="4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2125C"/>
    <w:multiLevelType w:val="hybridMultilevel"/>
    <w:tmpl w:val="A30A65B6"/>
    <w:lvl w:ilvl="0" w:tplc="12E4177E">
      <w:start w:val="4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B0549"/>
    <w:multiLevelType w:val="hybridMultilevel"/>
    <w:tmpl w:val="90E296B0"/>
    <w:lvl w:ilvl="0" w:tplc="54048518">
      <w:start w:val="47"/>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47"/>
    <w:rsid w:val="000C6910"/>
    <w:rsid w:val="001C3409"/>
    <w:rsid w:val="00344EC5"/>
    <w:rsid w:val="003A6664"/>
    <w:rsid w:val="004977D3"/>
    <w:rsid w:val="004A4581"/>
    <w:rsid w:val="004B6F23"/>
    <w:rsid w:val="004C5323"/>
    <w:rsid w:val="0052153C"/>
    <w:rsid w:val="005A31AD"/>
    <w:rsid w:val="006D1A8A"/>
    <w:rsid w:val="006F01A0"/>
    <w:rsid w:val="00721DA5"/>
    <w:rsid w:val="0079603C"/>
    <w:rsid w:val="008F405A"/>
    <w:rsid w:val="008F4106"/>
    <w:rsid w:val="009F480C"/>
    <w:rsid w:val="00A12C1D"/>
    <w:rsid w:val="00A20847"/>
    <w:rsid w:val="00B1261B"/>
    <w:rsid w:val="00C457DF"/>
    <w:rsid w:val="00C46512"/>
    <w:rsid w:val="00CB1945"/>
    <w:rsid w:val="00D1355A"/>
    <w:rsid w:val="00D76E94"/>
    <w:rsid w:val="00DF5B42"/>
    <w:rsid w:val="00E21AF3"/>
    <w:rsid w:val="00FE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626D"/>
  <w15:chartTrackingRefBased/>
  <w15:docId w15:val="{404319DE-E7CD-4605-887D-9E6B132D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847"/>
    <w:rPr>
      <w:b/>
      <w:bCs/>
    </w:rPr>
  </w:style>
  <w:style w:type="table" w:styleId="TableGrid">
    <w:name w:val="Table Grid"/>
    <w:basedOn w:val="TableNormal"/>
    <w:uiPriority w:val="39"/>
    <w:rsid w:val="00A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847"/>
    <w:pPr>
      <w:ind w:left="720"/>
      <w:contextualSpacing/>
    </w:pPr>
  </w:style>
  <w:style w:type="paragraph" w:styleId="Header">
    <w:name w:val="header"/>
    <w:basedOn w:val="Normal"/>
    <w:link w:val="HeaderChar"/>
    <w:uiPriority w:val="99"/>
    <w:unhideWhenUsed/>
    <w:rsid w:val="00A20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47"/>
  </w:style>
  <w:style w:type="paragraph" w:styleId="Footer">
    <w:name w:val="footer"/>
    <w:basedOn w:val="Normal"/>
    <w:link w:val="FooterChar"/>
    <w:uiPriority w:val="99"/>
    <w:unhideWhenUsed/>
    <w:rsid w:val="00A20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47"/>
  </w:style>
  <w:style w:type="paragraph" w:styleId="BalloonText">
    <w:name w:val="Balloon Text"/>
    <w:basedOn w:val="Normal"/>
    <w:link w:val="BalloonTextChar"/>
    <w:uiPriority w:val="99"/>
    <w:semiHidden/>
    <w:unhideWhenUsed/>
    <w:rsid w:val="000C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Jean</dc:creator>
  <cp:keywords/>
  <dc:description/>
  <cp:lastModifiedBy>Bird, Jean</cp:lastModifiedBy>
  <cp:revision>11</cp:revision>
  <cp:lastPrinted>2019-03-27T12:05:00Z</cp:lastPrinted>
  <dcterms:created xsi:type="dcterms:W3CDTF">2019-03-15T11:13:00Z</dcterms:created>
  <dcterms:modified xsi:type="dcterms:W3CDTF">2019-03-27T12:05:00Z</dcterms:modified>
</cp:coreProperties>
</file>