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66D" w:rsidRPr="00D5766D" w:rsidRDefault="00D5766D" w:rsidP="00C44966">
      <w:pPr>
        <w:rPr>
          <w:rFonts w:ascii="Arial" w:hAnsi="Arial" w:cs="Arial"/>
          <w:b/>
          <w:sz w:val="32"/>
          <w:szCs w:val="32"/>
        </w:rPr>
      </w:pPr>
    </w:p>
    <w:p w:rsidR="001757B6" w:rsidRDefault="001757B6" w:rsidP="00C44966">
      <w:pPr>
        <w:rPr>
          <w:rFonts w:ascii="Arial" w:hAnsi="Arial" w:cs="Arial"/>
          <w:b/>
          <w:sz w:val="32"/>
          <w:szCs w:val="32"/>
        </w:rPr>
      </w:pPr>
      <w:r>
        <w:rPr>
          <w:rFonts w:ascii="Arial" w:hAnsi="Arial" w:cs="Arial"/>
          <w:b/>
          <w:sz w:val="32"/>
          <w:szCs w:val="32"/>
        </w:rPr>
        <w:t>State Aid Legal Declaration</w:t>
      </w:r>
    </w:p>
    <w:p w:rsidR="00C44966" w:rsidRPr="00D5766D" w:rsidRDefault="001757B6" w:rsidP="00C44966">
      <w:pPr>
        <w:rPr>
          <w:rFonts w:ascii="Arial" w:hAnsi="Arial" w:cs="Arial"/>
          <w:b/>
          <w:sz w:val="32"/>
          <w:szCs w:val="32"/>
        </w:rPr>
      </w:pPr>
      <w:r>
        <w:rPr>
          <w:rFonts w:ascii="Arial" w:hAnsi="Arial" w:cs="Arial"/>
          <w:b/>
          <w:sz w:val="32"/>
          <w:szCs w:val="32"/>
        </w:rPr>
        <w:t>T</w:t>
      </w:r>
      <w:r w:rsidR="00D5766D" w:rsidRPr="00D5766D">
        <w:rPr>
          <w:rFonts w:ascii="Arial" w:hAnsi="Arial" w:cs="Arial"/>
          <w:b/>
          <w:sz w:val="32"/>
          <w:szCs w:val="32"/>
        </w:rPr>
        <w:t xml:space="preserve">o be Completed </w:t>
      </w:r>
      <w:r w:rsidR="00D5766D">
        <w:rPr>
          <w:rFonts w:ascii="Arial" w:hAnsi="Arial" w:cs="Arial"/>
          <w:b/>
          <w:sz w:val="32"/>
          <w:szCs w:val="32"/>
        </w:rPr>
        <w:t xml:space="preserve">and Signed </w:t>
      </w:r>
      <w:r w:rsidR="00D5766D" w:rsidRPr="00D5766D">
        <w:rPr>
          <w:rFonts w:ascii="Arial" w:hAnsi="Arial" w:cs="Arial"/>
          <w:b/>
          <w:sz w:val="32"/>
          <w:szCs w:val="32"/>
        </w:rPr>
        <w:t>by the Employer</w:t>
      </w:r>
      <w:r>
        <w:rPr>
          <w:rFonts w:ascii="Arial" w:hAnsi="Arial" w:cs="Arial"/>
          <w:b/>
          <w:sz w:val="32"/>
          <w:szCs w:val="32"/>
        </w:rPr>
        <w:t xml:space="preserve"> </w:t>
      </w:r>
    </w:p>
    <w:p w:rsidR="00C44966" w:rsidRPr="00D5766D" w:rsidRDefault="00C44966" w:rsidP="00C44966">
      <w:pPr>
        <w:rPr>
          <w:rFonts w:ascii="Arial" w:hAnsi="Arial" w:cs="Arial"/>
          <w:b/>
        </w:rPr>
      </w:pPr>
      <w:r w:rsidRPr="00D5766D">
        <w:rPr>
          <w:rFonts w:ascii="Arial" w:hAnsi="Arial" w:cs="Arial"/>
          <w:b/>
        </w:rPr>
        <w:t xml:space="preserve">Company Level Data Capture Form (De Minimis)  </w:t>
      </w:r>
    </w:p>
    <w:p w:rsidR="00940946" w:rsidRPr="00D5766D" w:rsidRDefault="001757B6" w:rsidP="00C44966">
      <w:pPr>
        <w:rPr>
          <w:rFonts w:ascii="Arial" w:hAnsi="Arial" w:cs="Arial"/>
          <w:b/>
        </w:rPr>
      </w:pPr>
      <w:r>
        <w:rPr>
          <w:rFonts w:ascii="Arial" w:hAnsi="Arial" w:cs="Arial"/>
          <w:b/>
        </w:rPr>
        <w:t>Section One</w:t>
      </w:r>
      <w:r w:rsidR="00C44966" w:rsidRPr="00D5766D">
        <w:rPr>
          <w:rFonts w:ascii="Arial" w:hAnsi="Arial" w:cs="Arial"/>
          <w:b/>
        </w:rPr>
        <w:t xml:space="preserve">  </w:t>
      </w:r>
    </w:p>
    <w:tbl>
      <w:tblPr>
        <w:tblStyle w:val="TableGrid"/>
        <w:tblW w:w="0" w:type="auto"/>
        <w:tblLook w:val="04A0" w:firstRow="1" w:lastRow="0" w:firstColumn="1" w:lastColumn="0" w:noHBand="0" w:noVBand="1"/>
      </w:tblPr>
      <w:tblGrid>
        <w:gridCol w:w="4508"/>
        <w:gridCol w:w="4508"/>
      </w:tblGrid>
      <w:tr w:rsidR="00940946" w:rsidRPr="00D5766D" w:rsidTr="00940946">
        <w:trPr>
          <w:trHeight w:val="493"/>
        </w:trPr>
        <w:tc>
          <w:tcPr>
            <w:tcW w:w="4508" w:type="dxa"/>
          </w:tcPr>
          <w:p w:rsidR="00940946" w:rsidRPr="00D5766D" w:rsidRDefault="00940946" w:rsidP="00940946">
            <w:pPr>
              <w:pStyle w:val="ListParagraph"/>
              <w:numPr>
                <w:ilvl w:val="0"/>
                <w:numId w:val="1"/>
              </w:numPr>
              <w:rPr>
                <w:rFonts w:ascii="Arial" w:hAnsi="Arial" w:cs="Arial"/>
              </w:rPr>
            </w:pPr>
            <w:r w:rsidRPr="00D5766D">
              <w:rPr>
                <w:rFonts w:ascii="Arial" w:hAnsi="Arial" w:cs="Arial"/>
              </w:rPr>
              <w:t>What is your company Name?</w:t>
            </w:r>
          </w:p>
        </w:tc>
        <w:tc>
          <w:tcPr>
            <w:tcW w:w="4508" w:type="dxa"/>
          </w:tcPr>
          <w:p w:rsidR="00940946" w:rsidRPr="00D5766D" w:rsidRDefault="00940946" w:rsidP="00C44966">
            <w:pPr>
              <w:rPr>
                <w:rFonts w:ascii="Arial" w:hAnsi="Arial" w:cs="Arial"/>
                <w:b/>
              </w:rPr>
            </w:pPr>
          </w:p>
        </w:tc>
      </w:tr>
      <w:tr w:rsidR="00940946" w:rsidRPr="00D5766D" w:rsidTr="00940946">
        <w:trPr>
          <w:trHeight w:val="1818"/>
        </w:trPr>
        <w:tc>
          <w:tcPr>
            <w:tcW w:w="4508" w:type="dxa"/>
          </w:tcPr>
          <w:p w:rsidR="00940946" w:rsidRPr="00D5766D" w:rsidRDefault="00940946" w:rsidP="00940946">
            <w:pPr>
              <w:pStyle w:val="ListParagraph"/>
              <w:numPr>
                <w:ilvl w:val="0"/>
                <w:numId w:val="1"/>
              </w:numPr>
              <w:rPr>
                <w:rFonts w:ascii="Arial" w:hAnsi="Arial" w:cs="Arial"/>
              </w:rPr>
            </w:pPr>
            <w:r w:rsidRPr="00D5766D">
              <w:rPr>
                <w:rFonts w:ascii="Arial" w:hAnsi="Arial" w:cs="Arial"/>
              </w:rPr>
              <w:t xml:space="preserve">What is your company’s registered address? </w:t>
            </w:r>
          </w:p>
        </w:tc>
        <w:tc>
          <w:tcPr>
            <w:tcW w:w="4508" w:type="dxa"/>
          </w:tcPr>
          <w:p w:rsidR="00940946" w:rsidRPr="00D5766D" w:rsidRDefault="00940946" w:rsidP="00C44966">
            <w:pPr>
              <w:rPr>
                <w:rFonts w:ascii="Arial" w:hAnsi="Arial" w:cs="Arial"/>
                <w:b/>
              </w:rPr>
            </w:pPr>
          </w:p>
        </w:tc>
      </w:tr>
      <w:tr w:rsidR="00940946" w:rsidRPr="00D5766D" w:rsidTr="00F30DA4">
        <w:trPr>
          <w:trHeight w:val="710"/>
        </w:trPr>
        <w:tc>
          <w:tcPr>
            <w:tcW w:w="4508" w:type="dxa"/>
          </w:tcPr>
          <w:p w:rsidR="00940946" w:rsidRPr="00D5766D" w:rsidRDefault="00940946" w:rsidP="00940946">
            <w:pPr>
              <w:pStyle w:val="ListParagraph"/>
              <w:numPr>
                <w:ilvl w:val="0"/>
                <w:numId w:val="1"/>
              </w:numPr>
              <w:rPr>
                <w:rFonts w:ascii="Arial" w:hAnsi="Arial" w:cs="Arial"/>
              </w:rPr>
            </w:pPr>
            <w:r w:rsidRPr="00D5766D">
              <w:rPr>
                <w:rFonts w:ascii="Arial" w:hAnsi="Arial" w:cs="Arial"/>
              </w:rPr>
              <w:t>Contact Details</w:t>
            </w:r>
          </w:p>
        </w:tc>
        <w:tc>
          <w:tcPr>
            <w:tcW w:w="4508" w:type="dxa"/>
          </w:tcPr>
          <w:p w:rsidR="00940946" w:rsidRPr="00D5766D" w:rsidRDefault="00940946" w:rsidP="00C44966">
            <w:pPr>
              <w:rPr>
                <w:rFonts w:ascii="Arial" w:hAnsi="Arial" w:cs="Arial"/>
              </w:rPr>
            </w:pPr>
            <w:r w:rsidRPr="00D5766D">
              <w:rPr>
                <w:rFonts w:ascii="Arial" w:hAnsi="Arial" w:cs="Arial"/>
              </w:rPr>
              <w:t xml:space="preserve">Email: </w:t>
            </w:r>
          </w:p>
        </w:tc>
      </w:tr>
      <w:tr w:rsidR="00940946" w:rsidRPr="00D5766D" w:rsidTr="00940946">
        <w:trPr>
          <w:trHeight w:val="544"/>
        </w:trPr>
        <w:tc>
          <w:tcPr>
            <w:tcW w:w="4508" w:type="dxa"/>
          </w:tcPr>
          <w:p w:rsidR="00940946" w:rsidRPr="00D5766D" w:rsidRDefault="00940946" w:rsidP="00C44966">
            <w:pPr>
              <w:rPr>
                <w:rFonts w:ascii="Arial" w:hAnsi="Arial" w:cs="Arial"/>
                <w:b/>
              </w:rPr>
            </w:pPr>
          </w:p>
        </w:tc>
        <w:tc>
          <w:tcPr>
            <w:tcW w:w="4508" w:type="dxa"/>
          </w:tcPr>
          <w:p w:rsidR="00940946" w:rsidRPr="00D5766D" w:rsidRDefault="00940946" w:rsidP="00C44966">
            <w:pPr>
              <w:rPr>
                <w:rFonts w:ascii="Arial" w:hAnsi="Arial" w:cs="Arial"/>
              </w:rPr>
            </w:pPr>
            <w:r w:rsidRPr="00D5766D">
              <w:rPr>
                <w:rFonts w:ascii="Arial" w:hAnsi="Arial" w:cs="Arial"/>
              </w:rPr>
              <w:t>Telephone:</w:t>
            </w:r>
          </w:p>
        </w:tc>
      </w:tr>
    </w:tbl>
    <w:p w:rsidR="00C44966" w:rsidRPr="00D5766D" w:rsidRDefault="00C44966" w:rsidP="00C44966">
      <w:pPr>
        <w:rPr>
          <w:rFonts w:ascii="Arial" w:hAnsi="Arial" w:cs="Arial"/>
          <w:b/>
        </w:rPr>
      </w:pPr>
    </w:p>
    <w:p w:rsidR="00C44966" w:rsidRPr="00D5766D" w:rsidRDefault="00F30DA4" w:rsidP="00C44966">
      <w:pPr>
        <w:rPr>
          <w:rFonts w:ascii="Arial" w:hAnsi="Arial" w:cs="Arial"/>
          <w:b/>
        </w:rPr>
      </w:pPr>
      <w:r w:rsidRPr="00D5766D">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261620</wp:posOffset>
                </wp:positionV>
                <wp:extent cx="5981700" cy="4676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981700" cy="467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451D1" id="Rectangle 1" o:spid="_x0000_s1026" style="position:absolute;margin-left:-6pt;margin-top:20.6pt;width:471pt;height:3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" filled="f" strokecolor="#1f4d78 [1604]" strokeweight="1pt"/>
            </w:pict>
          </mc:Fallback>
        </mc:AlternateContent>
      </w:r>
      <w:r w:rsidR="001757B6">
        <w:rPr>
          <w:rFonts w:ascii="Arial" w:hAnsi="Arial" w:cs="Arial"/>
          <w:b/>
        </w:rPr>
        <w:t xml:space="preserve">Section Two </w:t>
      </w:r>
      <w:r w:rsidR="00C44966" w:rsidRPr="00D5766D">
        <w:rPr>
          <w:rFonts w:ascii="Arial" w:hAnsi="Arial" w:cs="Arial"/>
          <w:b/>
        </w:rPr>
        <w:t xml:space="preserve">(De Minimis)  </w:t>
      </w:r>
    </w:p>
    <w:p w:rsidR="00F30DA4" w:rsidRPr="00D5766D" w:rsidRDefault="00C44966" w:rsidP="00C44966">
      <w:pPr>
        <w:rPr>
          <w:rFonts w:ascii="Arial" w:hAnsi="Arial" w:cs="Arial"/>
        </w:rPr>
      </w:pPr>
      <w:r w:rsidRPr="00D5766D">
        <w:rPr>
          <w:rFonts w:ascii="Arial" w:hAnsi="Arial" w:cs="Arial"/>
        </w:rPr>
        <w:t xml:space="preserve">STATE AID RULES </w:t>
      </w:r>
    </w:p>
    <w:p w:rsidR="00C44966" w:rsidRPr="00D5766D" w:rsidRDefault="00C44966" w:rsidP="00C44966">
      <w:pPr>
        <w:rPr>
          <w:rFonts w:ascii="Arial" w:hAnsi="Arial" w:cs="Arial"/>
          <w:sz w:val="20"/>
          <w:szCs w:val="20"/>
        </w:rPr>
      </w:pPr>
      <w:r w:rsidRPr="00D5766D">
        <w:rPr>
          <w:rFonts w:ascii="Arial" w:hAnsi="Arial" w:cs="Arial"/>
          <w:sz w:val="20"/>
          <w:szCs w:val="20"/>
        </w:rPr>
        <w:t xml:space="preserve">Where activity is supporting individuals to improve their employability and help them move closer to the labour market the aid is being provided to the individual and there are no direct benefits for enterprises. </w:t>
      </w:r>
      <w:r w:rsidR="00940946" w:rsidRPr="00D5766D">
        <w:rPr>
          <w:rFonts w:ascii="Arial" w:hAnsi="Arial" w:cs="Arial"/>
          <w:sz w:val="20"/>
          <w:szCs w:val="20"/>
        </w:rPr>
        <w:t>However,</w:t>
      </w:r>
      <w:r w:rsidRPr="00D5766D">
        <w:rPr>
          <w:rFonts w:ascii="Arial" w:hAnsi="Arial" w:cs="Arial"/>
          <w:sz w:val="20"/>
          <w:szCs w:val="20"/>
        </w:rPr>
        <w:t xml:space="preserve"> for those elements which provide support to individuals in employment there may be state aid implications because their employers are receiving support towards the costs of training. Where funding which supports individuals in employment to achieve full or part qualifications this may constitute an aid.  </w:t>
      </w:r>
    </w:p>
    <w:p w:rsidR="00C44966" w:rsidRPr="00D5766D" w:rsidRDefault="00C44966" w:rsidP="00C44966">
      <w:pPr>
        <w:rPr>
          <w:rFonts w:ascii="Arial" w:hAnsi="Arial" w:cs="Arial"/>
          <w:sz w:val="20"/>
          <w:szCs w:val="20"/>
        </w:rPr>
      </w:pPr>
      <w:r w:rsidRPr="00D5766D">
        <w:rPr>
          <w:rFonts w:ascii="Arial" w:hAnsi="Arial" w:cs="Arial"/>
          <w:sz w:val="20"/>
          <w:szCs w:val="20"/>
        </w:rPr>
        <w:t xml:space="preserve">The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regulation enables an enterprise to receive up to €200,000 euros in aid (any public resources including ESF) over three fiscal years. Providing such aid is given within the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rules there is no requirement to notify it to the Commission.   </w:t>
      </w:r>
    </w:p>
    <w:p w:rsidR="00C44966" w:rsidRPr="00D5766D" w:rsidRDefault="00C44966" w:rsidP="00C44966">
      <w:pPr>
        <w:rPr>
          <w:rFonts w:ascii="Arial" w:hAnsi="Arial" w:cs="Arial"/>
          <w:sz w:val="20"/>
          <w:szCs w:val="20"/>
        </w:rPr>
      </w:pPr>
      <w:r w:rsidRPr="00D5766D">
        <w:rPr>
          <w:rFonts w:ascii="Arial" w:hAnsi="Arial" w:cs="Arial"/>
          <w:sz w:val="20"/>
          <w:szCs w:val="20"/>
        </w:rPr>
        <w:t xml:space="preserve">To ensure that the requirements of the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regulation are met, scheme administrators must ensure that any award of funding and other public match funding to an enterprise given under the terms of the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block exemption does not breach the €200,000 ceiling over three fiscal years. Member states are required to keep detailed records of any de </w:t>
      </w:r>
      <w:proofErr w:type="spellStart"/>
      <w:r w:rsidRPr="00D5766D">
        <w:rPr>
          <w:rFonts w:ascii="Arial" w:hAnsi="Arial" w:cs="Arial"/>
          <w:sz w:val="20"/>
          <w:szCs w:val="20"/>
        </w:rPr>
        <w:t>minimus</w:t>
      </w:r>
      <w:proofErr w:type="spellEnd"/>
      <w:r w:rsidRPr="00D5766D">
        <w:rPr>
          <w:rFonts w:ascii="Arial" w:hAnsi="Arial" w:cs="Arial"/>
          <w:sz w:val="20"/>
          <w:szCs w:val="20"/>
        </w:rPr>
        <w:t xml:space="preserve"> aid paid for 10 years.   </w:t>
      </w:r>
    </w:p>
    <w:p w:rsidR="00F30DA4" w:rsidRPr="00D5766D" w:rsidRDefault="00C44966" w:rsidP="00C44966">
      <w:pPr>
        <w:rPr>
          <w:rFonts w:ascii="Arial" w:hAnsi="Arial" w:cs="Arial"/>
          <w:sz w:val="20"/>
          <w:szCs w:val="20"/>
        </w:rPr>
      </w:pPr>
      <w:r w:rsidRPr="00D5766D">
        <w:rPr>
          <w:rFonts w:ascii="Arial" w:hAnsi="Arial" w:cs="Arial"/>
          <w:sz w:val="20"/>
          <w:szCs w:val="20"/>
        </w:rPr>
        <w:t xml:space="preserve">The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regulation:  </w:t>
      </w:r>
    </w:p>
    <w:p w:rsidR="00F30DA4" w:rsidRPr="00D5766D" w:rsidRDefault="00C44966" w:rsidP="00F30DA4">
      <w:pPr>
        <w:pStyle w:val="ListParagraph"/>
        <w:numPr>
          <w:ilvl w:val="0"/>
          <w:numId w:val="2"/>
        </w:numPr>
        <w:rPr>
          <w:rFonts w:ascii="Arial" w:hAnsi="Arial" w:cs="Arial"/>
          <w:sz w:val="20"/>
          <w:szCs w:val="20"/>
        </w:rPr>
      </w:pPr>
      <w:r w:rsidRPr="00D5766D">
        <w:rPr>
          <w:rFonts w:ascii="Arial" w:hAnsi="Arial" w:cs="Arial"/>
          <w:sz w:val="20"/>
          <w:szCs w:val="20"/>
        </w:rPr>
        <w:t xml:space="preserve">extends the scope of the regulation to marketing and processing of agricultural products with certain conditions and the transport sector (but not to road haulage operations for the acquisition of road freight transport vehicles).  </w:t>
      </w:r>
    </w:p>
    <w:p w:rsidR="00F30DA4" w:rsidRPr="00D5766D" w:rsidRDefault="00C44966" w:rsidP="00F30DA4">
      <w:pPr>
        <w:pStyle w:val="ListParagraph"/>
        <w:numPr>
          <w:ilvl w:val="0"/>
          <w:numId w:val="2"/>
        </w:numPr>
        <w:jc w:val="both"/>
        <w:rPr>
          <w:rFonts w:ascii="Arial" w:hAnsi="Arial" w:cs="Arial"/>
          <w:sz w:val="20"/>
          <w:szCs w:val="20"/>
        </w:rPr>
      </w:pPr>
      <w:r w:rsidRPr="00D5766D">
        <w:rPr>
          <w:rFonts w:ascii="Arial" w:hAnsi="Arial" w:cs="Arial"/>
          <w:sz w:val="20"/>
          <w:szCs w:val="20"/>
        </w:rPr>
        <w:t xml:space="preserve">prohibits the </w:t>
      </w:r>
      <w:proofErr w:type="spellStart"/>
      <w:r w:rsidRPr="00D5766D">
        <w:rPr>
          <w:rFonts w:ascii="Arial" w:hAnsi="Arial" w:cs="Arial"/>
          <w:sz w:val="20"/>
          <w:szCs w:val="20"/>
        </w:rPr>
        <w:t>cumulation</w:t>
      </w:r>
      <w:proofErr w:type="spellEnd"/>
      <w:r w:rsidRPr="00D5766D">
        <w:rPr>
          <w:rFonts w:ascii="Arial" w:hAnsi="Arial" w:cs="Arial"/>
          <w:sz w:val="20"/>
          <w:szCs w:val="20"/>
        </w:rPr>
        <w:t xml:space="preserve"> of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with other block exempted or notified aid </w:t>
      </w:r>
      <w:r w:rsidR="00940946" w:rsidRPr="00D5766D">
        <w:rPr>
          <w:rFonts w:ascii="Arial" w:hAnsi="Arial" w:cs="Arial"/>
          <w:sz w:val="20"/>
          <w:szCs w:val="20"/>
        </w:rPr>
        <w:t>schemes for the same costs, and</w:t>
      </w:r>
      <w:r w:rsidR="00F30DA4" w:rsidRPr="00D5766D">
        <w:rPr>
          <w:rFonts w:ascii="Arial" w:hAnsi="Arial" w:cs="Arial"/>
          <w:sz w:val="20"/>
          <w:szCs w:val="20"/>
        </w:rPr>
        <w:t xml:space="preserve">; </w:t>
      </w:r>
    </w:p>
    <w:p w:rsidR="00F30DA4" w:rsidRPr="001757B6" w:rsidRDefault="00C44966" w:rsidP="00D52098">
      <w:pPr>
        <w:pStyle w:val="ListParagraph"/>
        <w:numPr>
          <w:ilvl w:val="0"/>
          <w:numId w:val="2"/>
        </w:numPr>
        <w:jc w:val="both"/>
        <w:rPr>
          <w:rFonts w:ascii="Arial" w:hAnsi="Arial" w:cs="Arial"/>
          <w:sz w:val="20"/>
          <w:szCs w:val="20"/>
        </w:rPr>
      </w:pPr>
      <w:r w:rsidRPr="001757B6">
        <w:rPr>
          <w:rFonts w:ascii="Arial" w:hAnsi="Arial" w:cs="Arial"/>
          <w:sz w:val="20"/>
          <w:szCs w:val="20"/>
        </w:rPr>
        <w:t xml:space="preserve">increases the de </w:t>
      </w:r>
      <w:proofErr w:type="spellStart"/>
      <w:r w:rsidRPr="001757B6">
        <w:rPr>
          <w:rFonts w:ascii="Arial" w:hAnsi="Arial" w:cs="Arial"/>
          <w:sz w:val="20"/>
          <w:szCs w:val="20"/>
        </w:rPr>
        <w:t>minimis</w:t>
      </w:r>
      <w:proofErr w:type="spellEnd"/>
      <w:r w:rsidRPr="001757B6">
        <w:rPr>
          <w:rFonts w:ascii="Arial" w:hAnsi="Arial" w:cs="Arial"/>
          <w:sz w:val="20"/>
          <w:szCs w:val="20"/>
        </w:rPr>
        <w:t xml:space="preserve"> level from €100,000 to €200,000 except the road transport sector which remains at €100,000.  Organisations using the de </w:t>
      </w:r>
      <w:proofErr w:type="spellStart"/>
      <w:r w:rsidRPr="001757B6">
        <w:rPr>
          <w:rFonts w:ascii="Arial" w:hAnsi="Arial" w:cs="Arial"/>
          <w:sz w:val="20"/>
          <w:szCs w:val="20"/>
        </w:rPr>
        <w:t>minimis</w:t>
      </w:r>
      <w:proofErr w:type="spellEnd"/>
      <w:r w:rsidRPr="001757B6">
        <w:rPr>
          <w:rFonts w:ascii="Arial" w:hAnsi="Arial" w:cs="Arial"/>
          <w:sz w:val="20"/>
          <w:szCs w:val="20"/>
        </w:rPr>
        <w:t xml:space="preserve"> rules </w:t>
      </w:r>
      <w:r w:rsidRPr="001757B6">
        <w:rPr>
          <w:rFonts w:ascii="Arial" w:hAnsi="Arial" w:cs="Arial"/>
          <w:sz w:val="20"/>
          <w:szCs w:val="20"/>
          <w:u w:val="single"/>
        </w:rPr>
        <w:t>must</w:t>
      </w:r>
      <w:r w:rsidRPr="001757B6">
        <w:rPr>
          <w:rFonts w:ascii="Arial" w:hAnsi="Arial" w:cs="Arial"/>
          <w:sz w:val="20"/>
          <w:szCs w:val="20"/>
        </w:rPr>
        <w:t xml:space="preserve"> put in place a monitoring system to ensure the limit is not breached. Typically, such a mo</w:t>
      </w:r>
      <w:r w:rsidR="00F30DA4" w:rsidRPr="001757B6">
        <w:rPr>
          <w:rFonts w:ascii="Arial" w:hAnsi="Arial" w:cs="Arial"/>
          <w:sz w:val="20"/>
          <w:szCs w:val="20"/>
        </w:rPr>
        <w:t xml:space="preserve">nitoring system will involve:  </w:t>
      </w:r>
    </w:p>
    <w:p w:rsidR="00801C3B" w:rsidRPr="00D5766D" w:rsidRDefault="00801C3B" w:rsidP="00801C3B">
      <w:pPr>
        <w:pStyle w:val="ListParagraph"/>
        <w:ind w:left="765"/>
        <w:rPr>
          <w:rFonts w:ascii="Arial" w:hAnsi="Arial" w:cs="Arial"/>
          <w:sz w:val="20"/>
          <w:szCs w:val="20"/>
        </w:rPr>
      </w:pPr>
    </w:p>
    <w:p w:rsidR="00F30DA4" w:rsidRPr="00D5766D" w:rsidRDefault="005E39E1" w:rsidP="00F30DA4">
      <w:pPr>
        <w:pStyle w:val="ListParagraph"/>
        <w:numPr>
          <w:ilvl w:val="0"/>
          <w:numId w:val="3"/>
        </w:numPr>
        <w:rPr>
          <w:rFonts w:ascii="Arial" w:hAnsi="Arial" w:cs="Arial"/>
          <w:sz w:val="20"/>
          <w:szCs w:val="20"/>
        </w:rPr>
      </w:pPr>
      <w:r w:rsidRPr="00D5766D">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simplePos x="0" y="0"/>
                <wp:positionH relativeFrom="margin">
                  <wp:posOffset>-47624</wp:posOffset>
                </wp:positionH>
                <wp:positionV relativeFrom="paragraph">
                  <wp:posOffset>9525</wp:posOffset>
                </wp:positionV>
                <wp:extent cx="6076950" cy="3705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076950" cy="3705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43745" id="Rectangle 3" o:spid="_x0000_s1026" style="position:absolute;margin-left:-3.75pt;margin-top:.75pt;width:478.5pt;height:29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" filled="f" strokecolor="#1f4d78 [1604]" strokeweight="1pt">
                <w10:wrap anchorx="margin"/>
              </v:rect>
            </w:pict>
          </mc:Fallback>
        </mc:AlternateContent>
      </w:r>
      <w:r w:rsidR="00C44966" w:rsidRPr="00D5766D">
        <w:rPr>
          <w:rFonts w:ascii="Arial" w:hAnsi="Arial" w:cs="Arial"/>
          <w:sz w:val="20"/>
          <w:szCs w:val="20"/>
        </w:rPr>
        <w:t>asking enterprises receiving support under their scheme to identify all other sources of support (either in cash or in kind) that they have recei</w:t>
      </w:r>
      <w:r w:rsidR="00F30DA4" w:rsidRPr="00D5766D">
        <w:rPr>
          <w:rFonts w:ascii="Arial" w:hAnsi="Arial" w:cs="Arial"/>
          <w:sz w:val="20"/>
          <w:szCs w:val="20"/>
        </w:rPr>
        <w:t xml:space="preserve">ved in the last three years;  </w:t>
      </w:r>
    </w:p>
    <w:p w:rsidR="005E39E1" w:rsidRPr="00D5766D" w:rsidRDefault="005E39E1" w:rsidP="005E39E1">
      <w:pPr>
        <w:pStyle w:val="ListParagraph"/>
        <w:ind w:left="765"/>
        <w:rPr>
          <w:rFonts w:ascii="Arial" w:hAnsi="Arial" w:cs="Arial"/>
          <w:sz w:val="20"/>
          <w:szCs w:val="20"/>
        </w:rPr>
      </w:pPr>
    </w:p>
    <w:p w:rsidR="00C44966" w:rsidRPr="00D5766D" w:rsidRDefault="00C44966" w:rsidP="00F30DA4">
      <w:pPr>
        <w:pStyle w:val="ListParagraph"/>
        <w:numPr>
          <w:ilvl w:val="0"/>
          <w:numId w:val="3"/>
        </w:numPr>
        <w:rPr>
          <w:rFonts w:ascii="Arial" w:hAnsi="Arial" w:cs="Arial"/>
          <w:sz w:val="20"/>
          <w:szCs w:val="20"/>
        </w:rPr>
      </w:pPr>
      <w:r w:rsidRPr="00D5766D">
        <w:rPr>
          <w:rFonts w:ascii="Arial" w:hAnsi="Arial" w:cs="Arial"/>
          <w:sz w:val="20"/>
          <w:szCs w:val="20"/>
        </w:rPr>
        <w:t xml:space="preserve">checking if previous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aid is involved, to ensure that the combined assistance does not exceed €200,000 over any three-year rolling period. If the limit is breached, the aid may have to be reduced or refused to ensure the limit is not breached.   </w:t>
      </w:r>
    </w:p>
    <w:p w:rsidR="00F30DA4" w:rsidRPr="00D5766D" w:rsidRDefault="00C44966" w:rsidP="00C44966">
      <w:pPr>
        <w:rPr>
          <w:rFonts w:ascii="Arial" w:hAnsi="Arial" w:cs="Arial"/>
          <w:sz w:val="20"/>
          <w:szCs w:val="20"/>
        </w:rPr>
      </w:pPr>
      <w:r w:rsidRPr="00D5766D">
        <w:rPr>
          <w:rFonts w:ascii="Arial" w:hAnsi="Arial" w:cs="Arial"/>
          <w:sz w:val="20"/>
          <w:szCs w:val="20"/>
        </w:rPr>
        <w:t xml:space="preserve">BIS (Department for Business, Innovation and Skills) State Aid Branch advises writing to each recipient in the following terms:  </w:t>
      </w:r>
    </w:p>
    <w:p w:rsidR="00C44966" w:rsidRPr="00D5766D" w:rsidRDefault="00C44966" w:rsidP="00C44966">
      <w:pPr>
        <w:rPr>
          <w:rFonts w:ascii="Arial" w:hAnsi="Arial" w:cs="Arial"/>
          <w:sz w:val="20"/>
          <w:szCs w:val="20"/>
        </w:rPr>
      </w:pPr>
      <w:r w:rsidRPr="00D5766D">
        <w:rPr>
          <w:rFonts w:ascii="Arial" w:hAnsi="Arial" w:cs="Arial"/>
          <w:sz w:val="20"/>
          <w:szCs w:val="20"/>
        </w:rPr>
        <w:t xml:space="preserve">“The assistance for […] constitutes State Aid as defined under Articles 87 and 88 of the Treaty of Rome and is being granted as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aid under Commission Regulation EC/1998/2006. European Commission rules prohibit any undertaking from receiving more than €200,000 euros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aid over a rolling three-year period. Any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aid granted over the €200,000 limit may be subject to repayment with interest. If you have received any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aid over the last three years (from any source) you should inform us immediately with details of the dates and amounts of aid received. Furthermore, information on this aid must be supplied to any other public authority or agency asking for information on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aid for the next three years.”  </w:t>
      </w:r>
    </w:p>
    <w:p w:rsidR="00F30DA4" w:rsidRPr="00D5766D" w:rsidRDefault="00C44966" w:rsidP="00C44966">
      <w:pPr>
        <w:rPr>
          <w:rFonts w:ascii="Arial" w:hAnsi="Arial" w:cs="Arial"/>
          <w:sz w:val="20"/>
          <w:szCs w:val="20"/>
        </w:rPr>
      </w:pPr>
      <w:r w:rsidRPr="00D5766D">
        <w:rPr>
          <w:rFonts w:ascii="Arial" w:hAnsi="Arial" w:cs="Arial"/>
          <w:sz w:val="20"/>
          <w:szCs w:val="20"/>
        </w:rPr>
        <w:t xml:space="preserve">Whilst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rules are straightforward in principle they are difficult and complex to operate in practice because they are not project related and as such rely on individual enterprises being able to identify how much aid and under which schemes they have received support over a rolling three-year period. Where enterprises have exhausted their aid ceilings under de </w:t>
      </w:r>
      <w:proofErr w:type="spellStart"/>
      <w:r w:rsidRPr="00D5766D">
        <w:rPr>
          <w:rFonts w:ascii="Arial" w:hAnsi="Arial" w:cs="Arial"/>
          <w:sz w:val="20"/>
          <w:szCs w:val="20"/>
        </w:rPr>
        <w:t>minimis</w:t>
      </w:r>
      <w:proofErr w:type="spellEnd"/>
      <w:r w:rsidRPr="00D5766D">
        <w:rPr>
          <w:rFonts w:ascii="Arial" w:hAnsi="Arial" w:cs="Arial"/>
          <w:sz w:val="20"/>
          <w:szCs w:val="20"/>
        </w:rPr>
        <w:t xml:space="preserve">, there is no capacity for further aid.  </w:t>
      </w:r>
    </w:p>
    <w:p w:rsidR="00C44966" w:rsidRPr="001757B6" w:rsidRDefault="00C44966" w:rsidP="00C44966">
      <w:pPr>
        <w:rPr>
          <w:rFonts w:ascii="Arial" w:hAnsi="Arial" w:cs="Arial"/>
        </w:rPr>
      </w:pPr>
      <w:r w:rsidRPr="001757B6">
        <w:rPr>
          <w:rFonts w:ascii="Arial" w:hAnsi="Arial" w:cs="Arial"/>
        </w:rPr>
        <w:t xml:space="preserve">State aids must be dealt with using the de </w:t>
      </w:r>
      <w:proofErr w:type="spellStart"/>
      <w:r w:rsidRPr="001757B6">
        <w:rPr>
          <w:rFonts w:ascii="Arial" w:hAnsi="Arial" w:cs="Arial"/>
        </w:rPr>
        <w:t>minimis</w:t>
      </w:r>
      <w:proofErr w:type="spellEnd"/>
      <w:r w:rsidRPr="001757B6">
        <w:rPr>
          <w:rFonts w:ascii="Arial" w:hAnsi="Arial" w:cs="Arial"/>
        </w:rPr>
        <w:t xml:space="preserve"> rules.   </w:t>
      </w:r>
    </w:p>
    <w:p w:rsidR="00C44966" w:rsidRPr="001757B6" w:rsidRDefault="00C44966" w:rsidP="00C44966">
      <w:pPr>
        <w:rPr>
          <w:rFonts w:ascii="Arial" w:hAnsi="Arial" w:cs="Arial"/>
          <w:b/>
        </w:rPr>
      </w:pPr>
      <w:r w:rsidRPr="001757B6">
        <w:rPr>
          <w:rFonts w:ascii="Arial" w:hAnsi="Arial" w:cs="Arial"/>
          <w:b/>
        </w:rPr>
        <w:t xml:space="preserve">4.Declaration - I declare that the amount of De Minimis aid received by the company/organisation over the last three fiscal years is:  </w:t>
      </w:r>
    </w:p>
    <w:tbl>
      <w:tblPr>
        <w:tblStyle w:val="TableGrid"/>
        <w:tblW w:w="0" w:type="auto"/>
        <w:tblLook w:val="04A0" w:firstRow="1" w:lastRow="0" w:firstColumn="1" w:lastColumn="0" w:noHBand="0" w:noVBand="1"/>
      </w:tblPr>
      <w:tblGrid>
        <w:gridCol w:w="1558"/>
        <w:gridCol w:w="1558"/>
        <w:gridCol w:w="1557"/>
        <w:gridCol w:w="1312"/>
        <w:gridCol w:w="1557"/>
        <w:gridCol w:w="1474"/>
      </w:tblGrid>
      <w:tr w:rsidR="00D5766D" w:rsidRPr="00D5766D" w:rsidTr="00D5766D">
        <w:trPr>
          <w:trHeight w:val="455"/>
        </w:trPr>
        <w:tc>
          <w:tcPr>
            <w:tcW w:w="1558" w:type="dxa"/>
          </w:tcPr>
          <w:p w:rsidR="00D5766D" w:rsidRPr="00D5766D" w:rsidRDefault="00D5766D" w:rsidP="00C44966">
            <w:pPr>
              <w:rPr>
                <w:rFonts w:ascii="Arial" w:hAnsi="Arial" w:cs="Arial"/>
                <w:b/>
              </w:rPr>
            </w:pPr>
            <w:r w:rsidRPr="00D5766D">
              <w:rPr>
                <w:rFonts w:ascii="Arial" w:hAnsi="Arial" w:cs="Arial"/>
                <w:b/>
              </w:rPr>
              <w:t xml:space="preserve">     2013/14</w:t>
            </w:r>
          </w:p>
        </w:tc>
        <w:tc>
          <w:tcPr>
            <w:tcW w:w="1558" w:type="dxa"/>
          </w:tcPr>
          <w:p w:rsidR="00D5766D" w:rsidRPr="00D5766D" w:rsidRDefault="00D5766D" w:rsidP="00C44966">
            <w:pPr>
              <w:rPr>
                <w:rFonts w:ascii="Arial" w:hAnsi="Arial" w:cs="Arial"/>
                <w:b/>
              </w:rPr>
            </w:pPr>
            <w:r w:rsidRPr="00D5766D">
              <w:rPr>
                <w:rFonts w:ascii="Arial" w:hAnsi="Arial" w:cs="Arial"/>
                <w:b/>
              </w:rPr>
              <w:t xml:space="preserve">     2014/15</w:t>
            </w:r>
          </w:p>
        </w:tc>
        <w:tc>
          <w:tcPr>
            <w:tcW w:w="1557" w:type="dxa"/>
          </w:tcPr>
          <w:p w:rsidR="00D5766D" w:rsidRPr="00D5766D" w:rsidRDefault="00D5766D" w:rsidP="00C44966">
            <w:pPr>
              <w:rPr>
                <w:rFonts w:ascii="Arial" w:hAnsi="Arial" w:cs="Arial"/>
                <w:b/>
              </w:rPr>
            </w:pPr>
            <w:r w:rsidRPr="00D5766D">
              <w:rPr>
                <w:rFonts w:ascii="Arial" w:hAnsi="Arial" w:cs="Arial"/>
              </w:rPr>
              <w:t xml:space="preserve">     </w:t>
            </w:r>
            <w:r w:rsidRPr="00D5766D">
              <w:rPr>
                <w:rFonts w:ascii="Arial" w:hAnsi="Arial" w:cs="Arial"/>
                <w:b/>
              </w:rPr>
              <w:t>2015/16</w:t>
            </w:r>
          </w:p>
        </w:tc>
        <w:tc>
          <w:tcPr>
            <w:tcW w:w="1312" w:type="dxa"/>
          </w:tcPr>
          <w:p w:rsidR="00D5766D" w:rsidRPr="00D5766D" w:rsidRDefault="00D5766D" w:rsidP="00C44966">
            <w:pPr>
              <w:rPr>
                <w:rFonts w:ascii="Arial" w:hAnsi="Arial" w:cs="Arial"/>
              </w:rPr>
            </w:pPr>
          </w:p>
        </w:tc>
        <w:tc>
          <w:tcPr>
            <w:tcW w:w="1557" w:type="dxa"/>
          </w:tcPr>
          <w:p w:rsidR="00D5766D" w:rsidRPr="00D5766D" w:rsidRDefault="00D5766D" w:rsidP="00C44966">
            <w:pPr>
              <w:rPr>
                <w:rFonts w:ascii="Arial" w:hAnsi="Arial" w:cs="Arial"/>
                <w:b/>
              </w:rPr>
            </w:pPr>
            <w:r w:rsidRPr="00D5766D">
              <w:rPr>
                <w:rFonts w:ascii="Arial" w:hAnsi="Arial" w:cs="Arial"/>
              </w:rPr>
              <w:t xml:space="preserve">     </w:t>
            </w:r>
            <w:r w:rsidRPr="00D5766D">
              <w:rPr>
                <w:rFonts w:ascii="Arial" w:hAnsi="Arial" w:cs="Arial"/>
                <w:b/>
              </w:rPr>
              <w:t>2016/17</w:t>
            </w:r>
          </w:p>
        </w:tc>
        <w:tc>
          <w:tcPr>
            <w:tcW w:w="1474" w:type="dxa"/>
          </w:tcPr>
          <w:p w:rsidR="00D5766D" w:rsidRPr="00D5766D" w:rsidRDefault="00D5766D" w:rsidP="00C44966">
            <w:pPr>
              <w:rPr>
                <w:rFonts w:ascii="Arial" w:hAnsi="Arial" w:cs="Arial"/>
                <w:b/>
              </w:rPr>
            </w:pPr>
            <w:r w:rsidRPr="00D5766D">
              <w:rPr>
                <w:rFonts w:ascii="Arial" w:hAnsi="Arial" w:cs="Arial"/>
                <w:b/>
              </w:rPr>
              <w:t xml:space="preserve">         Total</w:t>
            </w:r>
          </w:p>
        </w:tc>
      </w:tr>
      <w:tr w:rsidR="00D5766D" w:rsidRPr="00D5766D" w:rsidTr="00D5766D">
        <w:trPr>
          <w:trHeight w:val="561"/>
        </w:trPr>
        <w:tc>
          <w:tcPr>
            <w:tcW w:w="1558" w:type="dxa"/>
          </w:tcPr>
          <w:p w:rsidR="00D5766D" w:rsidRPr="00D5766D" w:rsidRDefault="00D5766D" w:rsidP="00C44966">
            <w:pPr>
              <w:rPr>
                <w:rFonts w:ascii="Arial" w:hAnsi="Arial" w:cs="Arial"/>
              </w:rPr>
            </w:pPr>
          </w:p>
        </w:tc>
        <w:tc>
          <w:tcPr>
            <w:tcW w:w="1558" w:type="dxa"/>
          </w:tcPr>
          <w:p w:rsidR="00D5766D" w:rsidRPr="00D5766D" w:rsidRDefault="00D5766D" w:rsidP="00C44966">
            <w:pPr>
              <w:rPr>
                <w:rFonts w:ascii="Arial" w:hAnsi="Arial" w:cs="Arial"/>
              </w:rPr>
            </w:pPr>
          </w:p>
        </w:tc>
        <w:tc>
          <w:tcPr>
            <w:tcW w:w="1557" w:type="dxa"/>
          </w:tcPr>
          <w:p w:rsidR="00D5766D" w:rsidRPr="00D5766D" w:rsidRDefault="00D5766D" w:rsidP="00C44966">
            <w:pPr>
              <w:rPr>
                <w:rFonts w:ascii="Arial" w:hAnsi="Arial" w:cs="Arial"/>
              </w:rPr>
            </w:pPr>
          </w:p>
        </w:tc>
        <w:tc>
          <w:tcPr>
            <w:tcW w:w="1312" w:type="dxa"/>
          </w:tcPr>
          <w:p w:rsidR="00D5766D" w:rsidRPr="00D5766D" w:rsidRDefault="00D5766D" w:rsidP="00C44966">
            <w:pPr>
              <w:rPr>
                <w:rFonts w:ascii="Arial" w:hAnsi="Arial" w:cs="Arial"/>
              </w:rPr>
            </w:pPr>
          </w:p>
        </w:tc>
        <w:tc>
          <w:tcPr>
            <w:tcW w:w="1557" w:type="dxa"/>
          </w:tcPr>
          <w:p w:rsidR="00D5766D" w:rsidRPr="00D5766D" w:rsidRDefault="00D5766D" w:rsidP="00C44966">
            <w:pPr>
              <w:rPr>
                <w:rFonts w:ascii="Arial" w:hAnsi="Arial" w:cs="Arial"/>
              </w:rPr>
            </w:pPr>
          </w:p>
        </w:tc>
        <w:tc>
          <w:tcPr>
            <w:tcW w:w="1474" w:type="dxa"/>
          </w:tcPr>
          <w:p w:rsidR="00D5766D" w:rsidRPr="00D5766D" w:rsidRDefault="00D5766D" w:rsidP="00C44966">
            <w:pPr>
              <w:rPr>
                <w:rFonts w:ascii="Arial" w:hAnsi="Arial" w:cs="Arial"/>
              </w:rPr>
            </w:pPr>
          </w:p>
        </w:tc>
      </w:tr>
    </w:tbl>
    <w:p w:rsidR="005E39E1" w:rsidRPr="00D5766D" w:rsidRDefault="00D5766D" w:rsidP="00C44966">
      <w:pPr>
        <w:rPr>
          <w:rFonts w:ascii="Arial" w:hAnsi="Arial" w:cs="Arial"/>
        </w:rPr>
      </w:pPr>
      <w:r w:rsidRPr="00D5766D">
        <w:rPr>
          <w:rFonts w:ascii="Arial" w:hAnsi="Arial" w:cs="Arial"/>
          <w:color w:val="FF0000"/>
        </w:rPr>
        <w:t xml:space="preserve">Please complete with 0 if nothing has been claimed. </w:t>
      </w:r>
    </w:p>
    <w:p w:rsidR="00C44966" w:rsidRPr="00D5766D" w:rsidRDefault="00C44966" w:rsidP="00C44966">
      <w:pPr>
        <w:rPr>
          <w:rFonts w:ascii="Arial" w:hAnsi="Arial" w:cs="Arial"/>
        </w:rPr>
      </w:pPr>
      <w:r w:rsidRPr="001757B6">
        <w:rPr>
          <w:rFonts w:ascii="Arial" w:hAnsi="Arial" w:cs="Arial"/>
          <w:b/>
        </w:rPr>
        <w:t>5. I confirm that</w:t>
      </w:r>
      <w:r w:rsidRPr="00D5766D">
        <w:rPr>
          <w:rFonts w:ascii="Arial" w:hAnsi="Arial" w:cs="Arial"/>
        </w:rPr>
        <w:t xml:space="preserve">, to the best of my knowledge, the information above is correct and given in good faith.  I will notify you of any new aid received from any source during the life of the project.   </w:t>
      </w:r>
    </w:p>
    <w:tbl>
      <w:tblPr>
        <w:tblStyle w:val="TableGrid"/>
        <w:tblW w:w="0" w:type="auto"/>
        <w:tblLook w:val="04A0" w:firstRow="1" w:lastRow="0" w:firstColumn="1" w:lastColumn="0" w:noHBand="0" w:noVBand="1"/>
      </w:tblPr>
      <w:tblGrid>
        <w:gridCol w:w="3114"/>
        <w:gridCol w:w="5902"/>
      </w:tblGrid>
      <w:tr w:rsidR="00F30DA4" w:rsidRPr="00D5766D" w:rsidTr="005E39E1">
        <w:trPr>
          <w:trHeight w:val="912"/>
        </w:trPr>
        <w:tc>
          <w:tcPr>
            <w:tcW w:w="3114" w:type="dxa"/>
          </w:tcPr>
          <w:p w:rsidR="00F30DA4" w:rsidRPr="00D5766D" w:rsidRDefault="00F30DA4" w:rsidP="00C44966">
            <w:pPr>
              <w:rPr>
                <w:rFonts w:ascii="Arial" w:hAnsi="Arial" w:cs="Arial"/>
              </w:rPr>
            </w:pPr>
          </w:p>
          <w:p w:rsidR="005E39E1" w:rsidRPr="00D5766D" w:rsidRDefault="005E39E1" w:rsidP="00C44966">
            <w:pPr>
              <w:rPr>
                <w:rFonts w:ascii="Arial" w:hAnsi="Arial" w:cs="Arial"/>
              </w:rPr>
            </w:pPr>
            <w:r w:rsidRPr="00D5766D">
              <w:rPr>
                <w:rFonts w:ascii="Arial" w:hAnsi="Arial" w:cs="Arial"/>
              </w:rPr>
              <w:t>Signed:</w:t>
            </w:r>
            <w:bookmarkStart w:id="0" w:name="_GoBack"/>
            <w:bookmarkEnd w:id="0"/>
          </w:p>
        </w:tc>
        <w:tc>
          <w:tcPr>
            <w:tcW w:w="5902" w:type="dxa"/>
          </w:tcPr>
          <w:p w:rsidR="00F30DA4" w:rsidRPr="00D5766D" w:rsidRDefault="00F30DA4" w:rsidP="00C44966">
            <w:pPr>
              <w:rPr>
                <w:rFonts w:ascii="Arial" w:hAnsi="Arial" w:cs="Arial"/>
              </w:rPr>
            </w:pPr>
          </w:p>
        </w:tc>
      </w:tr>
      <w:tr w:rsidR="00F30DA4" w:rsidRPr="00D5766D" w:rsidTr="00DF4EC6">
        <w:trPr>
          <w:trHeight w:val="632"/>
        </w:trPr>
        <w:tc>
          <w:tcPr>
            <w:tcW w:w="3114" w:type="dxa"/>
          </w:tcPr>
          <w:p w:rsidR="005E39E1" w:rsidRPr="00D5766D" w:rsidRDefault="005E39E1" w:rsidP="00C44966">
            <w:pPr>
              <w:rPr>
                <w:rFonts w:ascii="Arial" w:hAnsi="Arial" w:cs="Arial"/>
              </w:rPr>
            </w:pPr>
          </w:p>
          <w:p w:rsidR="005E39E1" w:rsidRPr="00D5766D" w:rsidRDefault="005E39E1" w:rsidP="00C44966">
            <w:pPr>
              <w:rPr>
                <w:rFonts w:ascii="Arial" w:hAnsi="Arial" w:cs="Arial"/>
              </w:rPr>
            </w:pPr>
            <w:r w:rsidRPr="00D5766D">
              <w:rPr>
                <w:rFonts w:ascii="Arial" w:hAnsi="Arial" w:cs="Arial"/>
              </w:rPr>
              <w:t>Date:</w:t>
            </w:r>
          </w:p>
        </w:tc>
        <w:tc>
          <w:tcPr>
            <w:tcW w:w="5902" w:type="dxa"/>
          </w:tcPr>
          <w:p w:rsidR="00F30DA4" w:rsidRPr="00D5766D" w:rsidRDefault="00F30DA4" w:rsidP="00C44966">
            <w:pPr>
              <w:rPr>
                <w:rFonts w:ascii="Arial" w:hAnsi="Arial" w:cs="Arial"/>
              </w:rPr>
            </w:pPr>
          </w:p>
        </w:tc>
      </w:tr>
      <w:tr w:rsidR="00F30DA4" w:rsidRPr="00D5766D" w:rsidTr="005E39E1">
        <w:trPr>
          <w:trHeight w:val="759"/>
        </w:trPr>
        <w:tc>
          <w:tcPr>
            <w:tcW w:w="3114" w:type="dxa"/>
          </w:tcPr>
          <w:p w:rsidR="00F30DA4" w:rsidRPr="00D5766D" w:rsidRDefault="00F30DA4" w:rsidP="00C44966">
            <w:pPr>
              <w:rPr>
                <w:rFonts w:ascii="Arial" w:hAnsi="Arial" w:cs="Arial"/>
              </w:rPr>
            </w:pPr>
          </w:p>
          <w:p w:rsidR="005E39E1" w:rsidRPr="00D5766D" w:rsidRDefault="005E39E1" w:rsidP="00C44966">
            <w:pPr>
              <w:rPr>
                <w:rFonts w:ascii="Arial" w:hAnsi="Arial" w:cs="Arial"/>
              </w:rPr>
            </w:pPr>
            <w:r w:rsidRPr="00D5766D">
              <w:rPr>
                <w:rFonts w:ascii="Arial" w:hAnsi="Arial" w:cs="Arial"/>
              </w:rPr>
              <w:t>Name:</w:t>
            </w:r>
          </w:p>
        </w:tc>
        <w:tc>
          <w:tcPr>
            <w:tcW w:w="5902" w:type="dxa"/>
          </w:tcPr>
          <w:p w:rsidR="00F30DA4" w:rsidRPr="00D5766D" w:rsidRDefault="00F30DA4" w:rsidP="00C44966">
            <w:pPr>
              <w:rPr>
                <w:rFonts w:ascii="Arial" w:hAnsi="Arial" w:cs="Arial"/>
              </w:rPr>
            </w:pPr>
          </w:p>
        </w:tc>
      </w:tr>
      <w:tr w:rsidR="00F30DA4" w:rsidRPr="00D5766D" w:rsidTr="005E39E1">
        <w:trPr>
          <w:trHeight w:val="642"/>
        </w:trPr>
        <w:tc>
          <w:tcPr>
            <w:tcW w:w="3114" w:type="dxa"/>
          </w:tcPr>
          <w:p w:rsidR="00F30DA4" w:rsidRPr="00D5766D" w:rsidRDefault="00F30DA4" w:rsidP="00C44966">
            <w:pPr>
              <w:rPr>
                <w:rFonts w:ascii="Arial" w:hAnsi="Arial" w:cs="Arial"/>
              </w:rPr>
            </w:pPr>
          </w:p>
          <w:p w:rsidR="005E39E1" w:rsidRPr="00D5766D" w:rsidRDefault="005E39E1" w:rsidP="00C44966">
            <w:pPr>
              <w:rPr>
                <w:rFonts w:ascii="Arial" w:hAnsi="Arial" w:cs="Arial"/>
              </w:rPr>
            </w:pPr>
            <w:r w:rsidRPr="00D5766D">
              <w:rPr>
                <w:rFonts w:ascii="Arial" w:hAnsi="Arial" w:cs="Arial"/>
              </w:rPr>
              <w:t>Position within Firm:</w:t>
            </w:r>
          </w:p>
        </w:tc>
        <w:tc>
          <w:tcPr>
            <w:tcW w:w="5902" w:type="dxa"/>
          </w:tcPr>
          <w:p w:rsidR="00F30DA4" w:rsidRPr="00D5766D" w:rsidRDefault="00F30DA4" w:rsidP="00C44966">
            <w:pPr>
              <w:rPr>
                <w:rFonts w:ascii="Arial" w:hAnsi="Arial" w:cs="Arial"/>
              </w:rPr>
            </w:pPr>
          </w:p>
        </w:tc>
      </w:tr>
    </w:tbl>
    <w:p w:rsidR="00D82920" w:rsidRPr="00D5766D" w:rsidRDefault="00C44966" w:rsidP="00C44966">
      <w:pPr>
        <w:rPr>
          <w:rFonts w:ascii="Arial" w:hAnsi="Arial" w:cs="Arial"/>
        </w:rPr>
      </w:pPr>
      <w:r w:rsidRPr="00D5766D">
        <w:rPr>
          <w:rFonts w:ascii="Arial" w:hAnsi="Arial" w:cs="Arial"/>
          <w:i/>
        </w:rPr>
        <w:t>This information may be shared with other organisations and Department for Education and Department for Work &amp; Pensions for administrative, statistical and research purposes, to inform careers and other guidance and to monitor progress</w:t>
      </w:r>
      <w:r w:rsidRPr="00D5766D">
        <w:rPr>
          <w:rFonts w:ascii="Arial" w:hAnsi="Arial" w:cs="Arial"/>
        </w:rPr>
        <w:t xml:space="preserve">.   </w:t>
      </w:r>
    </w:p>
    <w:sectPr w:rsidR="00D82920" w:rsidRPr="00D576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7A1" w:rsidRDefault="00A457A1" w:rsidP="005E39E1">
      <w:pPr>
        <w:spacing w:after="0" w:line="240" w:lineRule="auto"/>
      </w:pPr>
      <w:r>
        <w:separator/>
      </w:r>
    </w:p>
  </w:endnote>
  <w:endnote w:type="continuationSeparator" w:id="0">
    <w:p w:rsidR="00A457A1" w:rsidRDefault="00A457A1" w:rsidP="005E3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3B" w:rsidRDefault="00801C3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38" w:rsidRDefault="00BC6338">
    <w:pPr>
      <w:pStyle w:val="Footer"/>
    </w:pPr>
    <w:r>
      <w:t xml:space="preserve">State Aid Declaration May 2017                                                                                   </w:t>
    </w:r>
    <w:r w:rsidR="00DF4EC6">
      <w:t xml:space="preserve">  </w:t>
    </w:r>
    <w:r>
      <w:t xml:space="preserve">   </w:t>
    </w:r>
    <w:r>
      <w:rPr>
        <w:noProof/>
        <w:lang w:eastAsia="en-GB"/>
      </w:rPr>
      <w:drawing>
        <wp:inline distT="0" distB="0" distL="0" distR="0" wp14:anchorId="7BE470A2">
          <wp:extent cx="63817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49530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3B" w:rsidRDefault="00801C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7A1" w:rsidRDefault="00A457A1" w:rsidP="005E39E1">
      <w:pPr>
        <w:spacing w:after="0" w:line="240" w:lineRule="auto"/>
      </w:pPr>
      <w:r>
        <w:separator/>
      </w:r>
    </w:p>
  </w:footnote>
  <w:footnote w:type="continuationSeparator" w:id="0">
    <w:p w:rsidR="00A457A1" w:rsidRDefault="00A457A1" w:rsidP="005E3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3B" w:rsidRDefault="00801C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E1" w:rsidRDefault="005E39E1" w:rsidP="005E39E1">
    <w:pPr>
      <w:pStyle w:val="Header"/>
    </w:pPr>
    <w:r>
      <w:rPr>
        <w:noProof/>
        <w:lang w:eastAsia="en-GB"/>
      </w:rPr>
      <w:drawing>
        <wp:inline distT="0" distB="0" distL="0" distR="0" wp14:anchorId="7CA6171C">
          <wp:extent cx="790575" cy="390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390525"/>
                  </a:xfrm>
                  <a:prstGeom prst="rect">
                    <a:avLst/>
                  </a:prstGeom>
                  <a:noFill/>
                </pic:spPr>
              </pic:pic>
            </a:graphicData>
          </a:graphic>
        </wp:inline>
      </w:drawing>
    </w:r>
    <w:r>
      <w:t xml:space="preserve">                                                                                                       </w:t>
    </w:r>
    <w:r>
      <w:rPr>
        <w:noProof/>
        <w:lang w:eastAsia="en-GB"/>
      </w:rPr>
      <w:drawing>
        <wp:inline distT="0" distB="0" distL="0" distR="0" wp14:anchorId="1DC3A218">
          <wp:extent cx="1666875" cy="4476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C3B" w:rsidRDefault="00801C3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72CAA"/>
    <w:multiLevelType w:val="hybridMultilevel"/>
    <w:tmpl w:val="2BD4AD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685C76"/>
    <w:multiLevelType w:val="hybridMultilevel"/>
    <w:tmpl w:val="D44C1E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6F107B40"/>
    <w:multiLevelType w:val="hybridMultilevel"/>
    <w:tmpl w:val="80F84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D5"/>
    <w:rsid w:val="001757B6"/>
    <w:rsid w:val="004D1671"/>
    <w:rsid w:val="005E39E1"/>
    <w:rsid w:val="00636ED5"/>
    <w:rsid w:val="00801C3B"/>
    <w:rsid w:val="00940946"/>
    <w:rsid w:val="00A457A1"/>
    <w:rsid w:val="00BC6338"/>
    <w:rsid w:val="00C44966"/>
    <w:rsid w:val="00D5766D"/>
    <w:rsid w:val="00D65C38"/>
    <w:rsid w:val="00D82920"/>
    <w:rsid w:val="00DF4EC6"/>
    <w:rsid w:val="00E96E7B"/>
    <w:rsid w:val="00F30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165DA"/>
  <w15:chartTrackingRefBased/>
  <w15:docId w15:val="{55C9A056-D7C8-4479-8089-AF78545A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0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946"/>
    <w:pPr>
      <w:ind w:left="720"/>
      <w:contextualSpacing/>
    </w:pPr>
  </w:style>
  <w:style w:type="paragraph" w:styleId="Header">
    <w:name w:val="header"/>
    <w:basedOn w:val="Normal"/>
    <w:link w:val="HeaderChar"/>
    <w:uiPriority w:val="99"/>
    <w:unhideWhenUsed/>
    <w:rsid w:val="005E39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9E1"/>
  </w:style>
  <w:style w:type="paragraph" w:styleId="Footer">
    <w:name w:val="footer"/>
    <w:basedOn w:val="Normal"/>
    <w:link w:val="FooterChar"/>
    <w:uiPriority w:val="99"/>
    <w:unhideWhenUsed/>
    <w:rsid w:val="005E39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71F18-D7C1-480C-82CB-750D0BE6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Clarkson2, Lauren</dc:creator>
  <cp:keywords/>
  <dc:description/>
  <cp:lastModifiedBy>James Marczak</cp:lastModifiedBy>
  <cp:revision>3</cp:revision>
  <dcterms:created xsi:type="dcterms:W3CDTF">2017-07-19T08:42:00Z</dcterms:created>
  <dcterms:modified xsi:type="dcterms:W3CDTF">2017-07-19T13:54:00Z</dcterms:modified>
</cp:coreProperties>
</file>