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707B2469" w:rsidR="001F7236" w:rsidRPr="00044F00" w:rsidRDefault="00BB5382" w:rsidP="00645161">
            <w:pPr>
              <w:suppressAutoHyphens/>
              <w:jc w:val="center"/>
              <w:rPr>
                <w:rFonts w:ascii="Arial" w:hAnsi="Arial" w:cs="Arial"/>
                <w:spacing w:val="-3"/>
                <w:szCs w:val="22"/>
              </w:rPr>
            </w:pPr>
            <w:r>
              <w:rPr>
                <w:rFonts w:ascii="Arial" w:hAnsi="Arial" w:cs="Arial"/>
                <w:spacing w:val="-3"/>
                <w:szCs w:val="22"/>
              </w:rPr>
              <w:t xml:space="preserve">Assistant </w:t>
            </w:r>
            <w:r w:rsidR="00B0088E">
              <w:rPr>
                <w:rFonts w:ascii="Arial" w:hAnsi="Arial" w:cs="Arial"/>
                <w:spacing w:val="-3"/>
                <w:szCs w:val="22"/>
              </w:rPr>
              <w:t>Accommodation Manager</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715FA9DA" w:rsidR="001F7236" w:rsidRDefault="00B0088E" w:rsidP="00AB5C57">
            <w:pPr>
              <w:suppressAutoHyphens/>
              <w:jc w:val="center"/>
              <w:rPr>
                <w:rFonts w:ascii="Arial" w:hAnsi="Arial" w:cs="Arial"/>
                <w:spacing w:val="-3"/>
              </w:rPr>
            </w:pPr>
            <w:r>
              <w:rPr>
                <w:rFonts w:ascii="Arial" w:hAnsi="Arial" w:cs="Arial"/>
                <w:spacing w:val="-3"/>
              </w:rPr>
              <w:t>£</w:t>
            </w:r>
            <w:r w:rsidR="00BB5382">
              <w:rPr>
                <w:rFonts w:ascii="Arial" w:hAnsi="Arial" w:cs="Arial"/>
                <w:spacing w:val="-3"/>
              </w:rPr>
              <w:t>23</w:t>
            </w:r>
            <w:r>
              <w:rPr>
                <w:rFonts w:ascii="Arial" w:hAnsi="Arial" w:cs="Arial"/>
                <w:spacing w:val="-3"/>
              </w:rPr>
              <w:t>,</w:t>
            </w:r>
            <w:r w:rsidR="00BB5382">
              <w:rPr>
                <w:rFonts w:ascii="Arial" w:hAnsi="Arial" w:cs="Arial"/>
                <w:spacing w:val="-3"/>
              </w:rPr>
              <w:t>318</w:t>
            </w:r>
            <w:r>
              <w:rPr>
                <w:rFonts w:ascii="Arial" w:hAnsi="Arial" w:cs="Arial"/>
                <w:spacing w:val="-3"/>
              </w:rPr>
              <w:t xml:space="preserve"> - £</w:t>
            </w:r>
            <w:r w:rsidR="00BB5382">
              <w:rPr>
                <w:rFonts w:ascii="Arial" w:hAnsi="Arial" w:cs="Arial"/>
                <w:spacing w:val="-3"/>
              </w:rPr>
              <w:t>26</w:t>
            </w:r>
            <w:r>
              <w:rPr>
                <w:rFonts w:ascii="Arial" w:hAnsi="Arial" w:cs="Arial"/>
                <w:spacing w:val="-3"/>
              </w:rPr>
              <w:t>,8</w:t>
            </w:r>
            <w:r w:rsidR="00BB5382">
              <w:rPr>
                <w:rFonts w:ascii="Arial" w:hAnsi="Arial" w:cs="Arial"/>
                <w:spacing w:val="-3"/>
              </w:rPr>
              <w:t>07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6D2C410F" w:rsidR="00B0088E" w:rsidRPr="00044F00" w:rsidRDefault="00193406" w:rsidP="0037462A">
            <w:pPr>
              <w:suppressAutoHyphens/>
              <w:jc w:val="center"/>
              <w:rPr>
                <w:rFonts w:ascii="Arial" w:hAnsi="Arial" w:cs="Arial"/>
                <w:spacing w:val="-3"/>
                <w:szCs w:val="22"/>
              </w:rPr>
            </w:pPr>
            <w:r>
              <w:rPr>
                <w:rFonts w:ascii="Arial" w:hAnsi="Arial" w:cs="Arial"/>
                <w:spacing w:val="-3"/>
                <w:szCs w:val="22"/>
              </w:rPr>
              <w:t>Accommodation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4824FA9" w14:textId="0B430258" w:rsidR="00645161" w:rsidRPr="00044F00" w:rsidRDefault="00193406" w:rsidP="00521B7B">
            <w:pPr>
              <w:suppressAutoHyphens/>
              <w:jc w:val="center"/>
              <w:rPr>
                <w:rFonts w:ascii="Arial" w:hAnsi="Arial" w:cs="Arial"/>
                <w:spacing w:val="-3"/>
                <w:szCs w:val="22"/>
              </w:rPr>
            </w:pPr>
            <w:r>
              <w:rPr>
                <w:rFonts w:ascii="Arial" w:hAnsi="Arial" w:cs="Arial"/>
                <w:spacing w:val="-3"/>
                <w:szCs w:val="22"/>
              </w:rPr>
              <w:t>Accommodation Officer Maintenance Officer (3)</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3384674B" w14:textId="77777777" w:rsidR="00193406" w:rsidRDefault="00193406" w:rsidP="00193406">
            <w:pPr>
              <w:autoSpaceDE w:val="0"/>
              <w:autoSpaceDN w:val="0"/>
              <w:adjustRightInd w:val="0"/>
              <w:rPr>
                <w:rFonts w:ascii="Arial" w:hAnsi="Arial" w:cs="Arial"/>
                <w:sz w:val="22"/>
                <w:szCs w:val="22"/>
              </w:rPr>
            </w:pPr>
            <w:r w:rsidRPr="00193406">
              <w:rPr>
                <w:rFonts w:ascii="Arial" w:hAnsi="Arial" w:cs="Arial"/>
                <w:sz w:val="22"/>
                <w:szCs w:val="22"/>
              </w:rPr>
              <w:t>Assist in the management of the marketing and letting of the residential accommodation for Myerscough, including all lettings compliance, ongoing tenancy management (including arrears), tenant and parental issues, and maintenance. Residential accommodation encompasses the student residential village as well as other commercial properties within the portfolio.</w:t>
            </w:r>
          </w:p>
          <w:p w14:paraId="11CD1C95" w14:textId="77777777" w:rsidR="00193406" w:rsidRDefault="00193406" w:rsidP="00193406">
            <w:pPr>
              <w:autoSpaceDE w:val="0"/>
              <w:autoSpaceDN w:val="0"/>
              <w:adjustRightInd w:val="0"/>
              <w:rPr>
                <w:rFonts w:ascii="Arial" w:hAnsi="Arial" w:cs="Arial"/>
                <w:sz w:val="22"/>
                <w:szCs w:val="22"/>
              </w:rPr>
            </w:pPr>
          </w:p>
          <w:p w14:paraId="616064A3" w14:textId="77777777" w:rsidR="00193406" w:rsidRDefault="00193406" w:rsidP="00193406">
            <w:pPr>
              <w:autoSpaceDE w:val="0"/>
              <w:autoSpaceDN w:val="0"/>
              <w:adjustRightInd w:val="0"/>
              <w:rPr>
                <w:rFonts w:ascii="Arial" w:hAnsi="Arial" w:cs="Arial"/>
                <w:sz w:val="22"/>
                <w:szCs w:val="22"/>
              </w:rPr>
            </w:pPr>
            <w:r w:rsidRPr="00193406">
              <w:rPr>
                <w:rFonts w:ascii="Arial" w:hAnsi="Arial" w:cs="Arial"/>
                <w:sz w:val="22"/>
                <w:szCs w:val="22"/>
              </w:rPr>
              <w:t>Effectively manage the team to deliver a high quality and flexible residential offer so that occupancy is maximised at all times throughout the year, and there is continuous improvement benefitting the customer as well as having a positive financial impact.</w:t>
            </w:r>
          </w:p>
          <w:p w14:paraId="3AF0F665" w14:textId="77777777" w:rsidR="00193406" w:rsidRDefault="00193406" w:rsidP="00193406">
            <w:pPr>
              <w:autoSpaceDE w:val="0"/>
              <w:autoSpaceDN w:val="0"/>
              <w:adjustRightInd w:val="0"/>
              <w:rPr>
                <w:rFonts w:ascii="Arial" w:hAnsi="Arial" w:cs="Arial"/>
                <w:sz w:val="22"/>
                <w:szCs w:val="22"/>
              </w:rPr>
            </w:pPr>
          </w:p>
          <w:p w14:paraId="161C66B9" w14:textId="77777777" w:rsidR="00193406" w:rsidRDefault="00193406" w:rsidP="00193406">
            <w:pPr>
              <w:autoSpaceDE w:val="0"/>
              <w:autoSpaceDN w:val="0"/>
              <w:adjustRightInd w:val="0"/>
              <w:rPr>
                <w:rFonts w:ascii="Arial" w:hAnsi="Arial" w:cs="Arial"/>
                <w:sz w:val="22"/>
                <w:szCs w:val="22"/>
              </w:rPr>
            </w:pPr>
            <w:r w:rsidRPr="00193406">
              <w:rPr>
                <w:rFonts w:ascii="Arial" w:hAnsi="Arial" w:cs="Arial"/>
                <w:sz w:val="22"/>
                <w:szCs w:val="22"/>
              </w:rPr>
              <w:t xml:space="preserve">Monitor and maintain the student social spaces across the </w:t>
            </w:r>
            <w:proofErr w:type="spellStart"/>
            <w:r w:rsidRPr="00193406">
              <w:rPr>
                <w:rFonts w:ascii="Arial" w:hAnsi="Arial" w:cs="Arial"/>
                <w:sz w:val="22"/>
                <w:szCs w:val="22"/>
              </w:rPr>
              <w:t>Bilsborrow</w:t>
            </w:r>
            <w:proofErr w:type="spellEnd"/>
            <w:r w:rsidRPr="00193406">
              <w:rPr>
                <w:rFonts w:ascii="Arial" w:hAnsi="Arial" w:cs="Arial"/>
                <w:sz w:val="22"/>
                <w:szCs w:val="22"/>
              </w:rPr>
              <w:t xml:space="preserve"> campus.</w:t>
            </w:r>
          </w:p>
          <w:p w14:paraId="6A5810A0" w14:textId="77777777" w:rsidR="00193406" w:rsidRDefault="00193406" w:rsidP="00193406">
            <w:pPr>
              <w:autoSpaceDE w:val="0"/>
              <w:autoSpaceDN w:val="0"/>
              <w:adjustRightInd w:val="0"/>
              <w:rPr>
                <w:rFonts w:ascii="Arial" w:hAnsi="Arial" w:cs="Arial"/>
                <w:sz w:val="22"/>
                <w:szCs w:val="22"/>
              </w:rPr>
            </w:pPr>
          </w:p>
          <w:p w14:paraId="5CEA47F5" w14:textId="672E6EF8" w:rsidR="00193406" w:rsidRDefault="00193406" w:rsidP="00193406">
            <w:pPr>
              <w:autoSpaceDE w:val="0"/>
              <w:autoSpaceDN w:val="0"/>
              <w:adjustRightInd w:val="0"/>
              <w:rPr>
                <w:rFonts w:ascii="Arial" w:hAnsi="Arial" w:cs="Arial"/>
                <w:sz w:val="22"/>
                <w:szCs w:val="22"/>
              </w:rPr>
            </w:pPr>
            <w:r w:rsidRPr="00193406">
              <w:rPr>
                <w:rFonts w:ascii="Arial" w:hAnsi="Arial" w:cs="Arial"/>
                <w:sz w:val="22"/>
                <w:szCs w:val="22"/>
              </w:rPr>
              <w:t>Monitor and action health and safety compliance and best-practice across all areas.</w:t>
            </w:r>
          </w:p>
          <w:p w14:paraId="7B641EDE" w14:textId="77777777" w:rsidR="00193406" w:rsidRPr="00193406" w:rsidRDefault="00193406" w:rsidP="00193406">
            <w:pPr>
              <w:autoSpaceDE w:val="0"/>
              <w:autoSpaceDN w:val="0"/>
              <w:adjustRightInd w:val="0"/>
              <w:rPr>
                <w:rFonts w:ascii="Arial" w:hAnsi="Arial" w:cs="Arial"/>
                <w:sz w:val="22"/>
                <w:szCs w:val="22"/>
              </w:rPr>
            </w:pPr>
          </w:p>
          <w:p w14:paraId="45FB0818" w14:textId="1DDDB1A7" w:rsidR="00645161" w:rsidRPr="004F1AC9" w:rsidRDefault="00645161" w:rsidP="00AB5C57">
            <w:pPr>
              <w:autoSpaceDE w:val="0"/>
              <w:autoSpaceDN w:val="0"/>
              <w:adjustRightInd w:val="0"/>
              <w:rPr>
                <w:rFonts w:ascii="Arial" w:hAnsi="Arial" w:cs="Arial"/>
                <w:sz w:val="22"/>
                <w:szCs w:val="22"/>
              </w:rPr>
            </w:pPr>
            <w:bookmarkStart w:id="0" w:name="_GoBack"/>
            <w:bookmarkEnd w:id="0"/>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1771C661" w14:textId="77777777" w:rsidR="004F1AC9" w:rsidRPr="00193406" w:rsidRDefault="00B0088E" w:rsidP="00E34F59">
            <w:pPr>
              <w:suppressAutoHyphens/>
              <w:jc w:val="both"/>
              <w:rPr>
                <w:rFonts w:ascii="Arial" w:hAnsi="Arial" w:cs="Arial"/>
                <w:sz w:val="22"/>
                <w:szCs w:val="22"/>
              </w:rPr>
            </w:pPr>
            <w:r w:rsidRPr="00193406">
              <w:rPr>
                <w:rFonts w:ascii="Arial" w:hAnsi="Arial" w:cs="Arial"/>
                <w:b/>
                <w:sz w:val="22"/>
                <w:szCs w:val="22"/>
              </w:rPr>
              <w:t>LEADERSHIP AND MANAGEMENT</w:t>
            </w:r>
          </w:p>
          <w:p w14:paraId="5E90513B"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To provide leadership, support and directly line manage the staff listed above.</w:t>
            </w:r>
          </w:p>
          <w:p w14:paraId="620423E1"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To recruit, train, manage, motivate and develop staff, ensuring they embrace a ‘positive’ philosophy and are able to deliver the highest standards of customer service.</w:t>
            </w:r>
          </w:p>
          <w:p w14:paraId="4B7E33F4"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Complete performance reviews with all staff under your direct line management to ensure training and development issues are discussed and agreed, followed up and monitored.</w:t>
            </w:r>
          </w:p>
          <w:p w14:paraId="15E03AA6"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Ensure all facilities are of a high standard of cleanliness at all times; assisting the Accommodation Manager in managing the cleaning contract.</w:t>
            </w:r>
          </w:p>
          <w:p w14:paraId="062D58F4"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Ensure there is appropriate staffing cover, at times to suit the needs of the business, and considering high levels of customer service.</w:t>
            </w:r>
          </w:p>
          <w:p w14:paraId="6518222D"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 xml:space="preserve">Work with and support all areas of Commercial Services to enable us to realise the greatest efficiencies, share best practice, and develop at equal pace. </w:t>
            </w:r>
          </w:p>
          <w:p w14:paraId="784A071D"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Regularly monitor and report maintenance issues so that all the facilities are safe and presentable at all times, working to the highest standard.</w:t>
            </w:r>
          </w:p>
          <w:p w14:paraId="60169231"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Support college inspections as directed and required.</w:t>
            </w:r>
          </w:p>
          <w:p w14:paraId="141C55AD"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Work collaboratively with all members of Myerscough College in delivering College targets and priorities.</w:t>
            </w:r>
          </w:p>
          <w:p w14:paraId="7656C356"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Share and help develop ideas and initiatives that will see an increase in use/occupancy and ensure customer retention/repeat business.</w:t>
            </w:r>
          </w:p>
          <w:p w14:paraId="267BEFA0"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Produce a high standard of reports as required</w:t>
            </w:r>
            <w:r>
              <w:rPr>
                <w:rFonts w:ascii="Arial" w:hAnsi="Arial" w:cs="Arial"/>
                <w:sz w:val="22"/>
                <w:szCs w:val="22"/>
              </w:rPr>
              <w:t>.</w:t>
            </w:r>
          </w:p>
          <w:p w14:paraId="2F300693"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Make use of, and develop, online systems for the efficient use of staff time but also to ensure ease and customer satisfaction.</w:t>
            </w:r>
          </w:p>
          <w:p w14:paraId="50A90178"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To be aware of the standards we set, lead by example, and ensure the team are meeting these standards at all times.</w:t>
            </w:r>
          </w:p>
          <w:p w14:paraId="75590463" w14:textId="7EAA3B6C" w:rsidR="004F1AC9" w:rsidRP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Consider sustainability in all aspects of daily operational management, as well as factoring it in to future plans. Where possible we should aim to achieve a carbon zero approach.</w:t>
            </w:r>
          </w:p>
          <w:p w14:paraId="6DD77943" w14:textId="77777777" w:rsidR="004F1AC9" w:rsidRPr="00193406" w:rsidRDefault="004F1AC9" w:rsidP="004F1AC9">
            <w:pPr>
              <w:suppressAutoHyphens/>
              <w:jc w:val="both"/>
              <w:rPr>
                <w:rFonts w:ascii="Arial" w:hAnsi="Arial" w:cs="Arial"/>
                <w:spacing w:val="-3"/>
                <w:sz w:val="22"/>
                <w:szCs w:val="22"/>
              </w:rPr>
            </w:pPr>
          </w:p>
          <w:p w14:paraId="351AB4C5" w14:textId="77777777" w:rsidR="004F1AC9" w:rsidRPr="00193406" w:rsidRDefault="00B0088E" w:rsidP="004F1AC9">
            <w:pPr>
              <w:suppressAutoHyphens/>
              <w:jc w:val="both"/>
              <w:rPr>
                <w:rFonts w:ascii="Arial" w:hAnsi="Arial" w:cs="Arial"/>
                <w:sz w:val="22"/>
                <w:szCs w:val="22"/>
              </w:rPr>
            </w:pPr>
            <w:r w:rsidRPr="00193406">
              <w:rPr>
                <w:rFonts w:ascii="Arial" w:hAnsi="Arial" w:cs="Arial"/>
                <w:sz w:val="22"/>
                <w:szCs w:val="22"/>
              </w:rPr>
              <w:t xml:space="preserve"> </w:t>
            </w:r>
            <w:r w:rsidRPr="00193406">
              <w:rPr>
                <w:rFonts w:ascii="Arial" w:hAnsi="Arial" w:cs="Arial"/>
                <w:b/>
                <w:sz w:val="22"/>
                <w:szCs w:val="22"/>
              </w:rPr>
              <w:t>FINANCIAL</w:t>
            </w:r>
            <w:r w:rsidRPr="00193406">
              <w:rPr>
                <w:rFonts w:ascii="Arial" w:hAnsi="Arial" w:cs="Arial"/>
                <w:sz w:val="22"/>
                <w:szCs w:val="22"/>
              </w:rPr>
              <w:t xml:space="preserve"> </w:t>
            </w:r>
          </w:p>
          <w:p w14:paraId="343DD13E" w14:textId="77777777" w:rsidR="00193406" w:rsidRPr="00193406" w:rsidRDefault="00193406" w:rsidP="00193406">
            <w:pPr>
              <w:pStyle w:val="ListParagraph"/>
              <w:numPr>
                <w:ilvl w:val="0"/>
                <w:numId w:val="26"/>
              </w:numPr>
              <w:suppressAutoHyphens/>
              <w:jc w:val="both"/>
              <w:rPr>
                <w:rFonts w:ascii="Arial" w:hAnsi="Arial" w:cs="Arial"/>
                <w:spacing w:val="-3"/>
                <w:sz w:val="22"/>
                <w:szCs w:val="22"/>
              </w:rPr>
            </w:pPr>
            <w:r w:rsidRPr="00193406">
              <w:rPr>
                <w:rFonts w:ascii="Arial" w:hAnsi="Arial" w:cs="Arial"/>
                <w:sz w:val="22"/>
                <w:szCs w:val="22"/>
              </w:rPr>
              <w:t xml:space="preserve">To monitor the student application cycle - surrounding elements such as application status, bursary applications and fee payments – and </w:t>
            </w:r>
            <w:proofErr w:type="gramStart"/>
            <w:r w:rsidRPr="00193406">
              <w:rPr>
                <w:rFonts w:ascii="Arial" w:hAnsi="Arial" w:cs="Arial"/>
                <w:sz w:val="22"/>
                <w:szCs w:val="22"/>
              </w:rPr>
              <w:t>take action</w:t>
            </w:r>
            <w:proofErr w:type="gramEnd"/>
            <w:r w:rsidRPr="00193406">
              <w:rPr>
                <w:rFonts w:ascii="Arial" w:hAnsi="Arial" w:cs="Arial"/>
                <w:sz w:val="22"/>
                <w:szCs w:val="22"/>
              </w:rPr>
              <w:t xml:space="preserve"> where required.</w:t>
            </w:r>
          </w:p>
          <w:p w14:paraId="64BFDEA5" w14:textId="77777777" w:rsidR="00193406" w:rsidRPr="00193406" w:rsidRDefault="00193406" w:rsidP="00193406">
            <w:pPr>
              <w:pStyle w:val="ListParagraph"/>
              <w:numPr>
                <w:ilvl w:val="0"/>
                <w:numId w:val="26"/>
              </w:numPr>
              <w:suppressAutoHyphens/>
              <w:jc w:val="both"/>
              <w:rPr>
                <w:rFonts w:ascii="Arial" w:hAnsi="Arial" w:cs="Arial"/>
                <w:spacing w:val="-3"/>
                <w:sz w:val="22"/>
                <w:szCs w:val="22"/>
              </w:rPr>
            </w:pPr>
            <w:r w:rsidRPr="00193406">
              <w:rPr>
                <w:rFonts w:ascii="Arial" w:hAnsi="Arial" w:cs="Arial"/>
                <w:sz w:val="22"/>
                <w:szCs w:val="22"/>
              </w:rPr>
              <w:t>To prepare competitive quotes for external clients.</w:t>
            </w:r>
          </w:p>
          <w:p w14:paraId="1DA820E5" w14:textId="77777777" w:rsidR="00193406" w:rsidRPr="00193406" w:rsidRDefault="00193406" w:rsidP="00193406">
            <w:pPr>
              <w:pStyle w:val="ListParagraph"/>
              <w:numPr>
                <w:ilvl w:val="0"/>
                <w:numId w:val="26"/>
              </w:numPr>
              <w:suppressAutoHyphens/>
              <w:jc w:val="both"/>
              <w:rPr>
                <w:rFonts w:ascii="Arial" w:hAnsi="Arial" w:cs="Arial"/>
                <w:spacing w:val="-3"/>
                <w:sz w:val="22"/>
                <w:szCs w:val="22"/>
              </w:rPr>
            </w:pPr>
            <w:r w:rsidRPr="00193406">
              <w:rPr>
                <w:rFonts w:ascii="Arial" w:hAnsi="Arial" w:cs="Arial"/>
                <w:sz w:val="22"/>
                <w:szCs w:val="22"/>
              </w:rPr>
              <w:t>Raising of internal and external requests for invoices.</w:t>
            </w:r>
          </w:p>
          <w:p w14:paraId="53128261" w14:textId="1C0C4462" w:rsidR="00327B86" w:rsidRPr="00193406" w:rsidRDefault="00193406" w:rsidP="00193406">
            <w:pPr>
              <w:pStyle w:val="ListParagraph"/>
              <w:numPr>
                <w:ilvl w:val="0"/>
                <w:numId w:val="26"/>
              </w:numPr>
              <w:suppressAutoHyphens/>
              <w:jc w:val="both"/>
              <w:rPr>
                <w:rFonts w:ascii="Arial" w:hAnsi="Arial" w:cs="Arial"/>
                <w:spacing w:val="-3"/>
                <w:sz w:val="22"/>
                <w:szCs w:val="22"/>
              </w:rPr>
            </w:pPr>
            <w:r w:rsidRPr="00193406">
              <w:rPr>
                <w:rFonts w:ascii="Arial" w:hAnsi="Arial" w:cs="Arial"/>
                <w:sz w:val="22"/>
                <w:szCs w:val="22"/>
              </w:rPr>
              <w:t>Help maximise income generation across all operations under your management.</w:t>
            </w: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66FDC504" w14:textId="77777777" w:rsidR="00327B86" w:rsidRPr="00193406" w:rsidRDefault="00327B86" w:rsidP="00645161">
            <w:pPr>
              <w:suppressAutoHyphens/>
              <w:jc w:val="both"/>
              <w:rPr>
                <w:rFonts w:ascii="Arial" w:hAnsi="Arial" w:cs="Arial"/>
                <w:b/>
                <w:sz w:val="22"/>
                <w:szCs w:val="22"/>
              </w:rPr>
            </w:pPr>
          </w:p>
          <w:p w14:paraId="2355850C" w14:textId="77777777" w:rsidR="00327B86" w:rsidRPr="00193406" w:rsidRDefault="00B0088E" w:rsidP="00645161">
            <w:pPr>
              <w:suppressAutoHyphens/>
              <w:jc w:val="both"/>
              <w:rPr>
                <w:rFonts w:ascii="Arial" w:hAnsi="Arial" w:cs="Arial"/>
                <w:sz w:val="22"/>
                <w:szCs w:val="22"/>
              </w:rPr>
            </w:pPr>
            <w:r w:rsidRPr="00193406">
              <w:rPr>
                <w:rFonts w:ascii="Arial" w:hAnsi="Arial" w:cs="Arial"/>
                <w:b/>
                <w:sz w:val="22"/>
                <w:szCs w:val="22"/>
              </w:rPr>
              <w:t>MARKETING</w:t>
            </w:r>
            <w:r w:rsidRPr="00193406">
              <w:rPr>
                <w:rFonts w:ascii="Arial" w:hAnsi="Arial" w:cs="Arial"/>
                <w:sz w:val="22"/>
                <w:szCs w:val="22"/>
              </w:rPr>
              <w:t xml:space="preserve"> </w:t>
            </w:r>
          </w:p>
          <w:p w14:paraId="7FBA724E" w14:textId="77777777" w:rsidR="00193406" w:rsidRDefault="00193406" w:rsidP="00193406">
            <w:pPr>
              <w:pStyle w:val="ListParagraph"/>
              <w:numPr>
                <w:ilvl w:val="0"/>
                <w:numId w:val="27"/>
              </w:numPr>
              <w:suppressAutoHyphens/>
              <w:jc w:val="both"/>
              <w:rPr>
                <w:rFonts w:ascii="Arial" w:hAnsi="Arial" w:cs="Arial"/>
                <w:sz w:val="22"/>
                <w:szCs w:val="22"/>
              </w:rPr>
            </w:pPr>
            <w:r w:rsidRPr="00193406">
              <w:rPr>
                <w:rFonts w:ascii="Arial" w:hAnsi="Arial" w:cs="Arial"/>
                <w:sz w:val="22"/>
                <w:szCs w:val="22"/>
              </w:rPr>
              <w:t>To be proactive in marketing the facilities on offer.</w:t>
            </w:r>
          </w:p>
          <w:p w14:paraId="74D0EAA7" w14:textId="63925457" w:rsidR="00327B86" w:rsidRPr="00193406" w:rsidRDefault="00193406" w:rsidP="00193406">
            <w:pPr>
              <w:pStyle w:val="ListParagraph"/>
              <w:numPr>
                <w:ilvl w:val="0"/>
                <w:numId w:val="27"/>
              </w:numPr>
              <w:suppressAutoHyphens/>
              <w:jc w:val="both"/>
              <w:rPr>
                <w:rFonts w:ascii="Arial" w:hAnsi="Arial" w:cs="Arial"/>
                <w:sz w:val="22"/>
                <w:szCs w:val="22"/>
              </w:rPr>
            </w:pPr>
            <w:r w:rsidRPr="00193406">
              <w:rPr>
                <w:rFonts w:ascii="Arial" w:hAnsi="Arial" w:cs="Arial"/>
                <w:sz w:val="22"/>
                <w:szCs w:val="22"/>
              </w:rPr>
              <w:t xml:space="preserve">Create and manage the accommodation facilities in such a way to build the reputation and make it easier to market. </w:t>
            </w:r>
          </w:p>
          <w:p w14:paraId="0DFD3068" w14:textId="77777777" w:rsidR="00193406" w:rsidRPr="00193406" w:rsidRDefault="00193406" w:rsidP="00327B86">
            <w:pPr>
              <w:suppressAutoHyphens/>
              <w:jc w:val="both"/>
              <w:rPr>
                <w:rFonts w:ascii="Arial" w:hAnsi="Arial" w:cs="Arial"/>
                <w:sz w:val="22"/>
                <w:szCs w:val="22"/>
              </w:rPr>
            </w:pPr>
          </w:p>
          <w:p w14:paraId="320A6446" w14:textId="77777777" w:rsidR="00327B86" w:rsidRPr="00193406" w:rsidRDefault="00B0088E" w:rsidP="00327B86">
            <w:pPr>
              <w:suppressAutoHyphens/>
              <w:jc w:val="both"/>
              <w:rPr>
                <w:rFonts w:ascii="Arial" w:hAnsi="Arial" w:cs="Arial"/>
                <w:sz w:val="22"/>
                <w:szCs w:val="22"/>
              </w:rPr>
            </w:pPr>
            <w:r w:rsidRPr="00193406">
              <w:rPr>
                <w:rFonts w:ascii="Arial" w:hAnsi="Arial" w:cs="Arial"/>
                <w:b/>
                <w:sz w:val="22"/>
                <w:szCs w:val="22"/>
              </w:rPr>
              <w:t>STATUTORY</w:t>
            </w:r>
          </w:p>
          <w:p w14:paraId="06906CCA" w14:textId="77777777" w:rsidR="00327B86" w:rsidRPr="00193406" w:rsidRDefault="00B0088E" w:rsidP="00327B86">
            <w:pPr>
              <w:pStyle w:val="ListParagraph"/>
              <w:numPr>
                <w:ilvl w:val="0"/>
                <w:numId w:val="23"/>
              </w:numPr>
              <w:suppressAutoHyphens/>
              <w:jc w:val="both"/>
              <w:rPr>
                <w:rFonts w:ascii="Arial" w:hAnsi="Arial" w:cs="Arial"/>
                <w:spacing w:val="-3"/>
                <w:sz w:val="22"/>
                <w:szCs w:val="22"/>
              </w:rPr>
            </w:pPr>
            <w:r w:rsidRPr="00193406">
              <w:rPr>
                <w:rFonts w:ascii="Arial" w:hAnsi="Arial" w:cs="Arial"/>
                <w:sz w:val="22"/>
                <w:szCs w:val="22"/>
              </w:rPr>
              <w:t>Ensure that the GDPR is fully adhered to.</w:t>
            </w:r>
          </w:p>
          <w:p w14:paraId="56249834" w14:textId="77777777" w:rsidR="00327B86" w:rsidRPr="00193406" w:rsidRDefault="00B0088E" w:rsidP="00327B86">
            <w:pPr>
              <w:pStyle w:val="ListParagraph"/>
              <w:numPr>
                <w:ilvl w:val="0"/>
                <w:numId w:val="23"/>
              </w:numPr>
              <w:suppressAutoHyphens/>
              <w:jc w:val="both"/>
              <w:rPr>
                <w:rFonts w:ascii="Arial" w:hAnsi="Arial" w:cs="Arial"/>
                <w:spacing w:val="-3"/>
                <w:sz w:val="22"/>
                <w:szCs w:val="22"/>
              </w:rPr>
            </w:pPr>
            <w:r w:rsidRPr="00193406">
              <w:rPr>
                <w:rFonts w:ascii="Arial" w:hAnsi="Arial" w:cs="Arial"/>
                <w:sz w:val="22"/>
                <w:szCs w:val="22"/>
              </w:rPr>
              <w:t>Ensure staff are trained in all relevant aspects of health and safety, keeping up to date with changes and updates, and ensuring these are communicated.</w:t>
            </w:r>
          </w:p>
          <w:p w14:paraId="14D936BB" w14:textId="77777777" w:rsidR="00327B86" w:rsidRPr="00193406" w:rsidRDefault="00B0088E" w:rsidP="00327B86">
            <w:pPr>
              <w:pStyle w:val="ListParagraph"/>
              <w:numPr>
                <w:ilvl w:val="0"/>
                <w:numId w:val="23"/>
              </w:numPr>
              <w:suppressAutoHyphens/>
              <w:jc w:val="both"/>
              <w:rPr>
                <w:rFonts w:ascii="Arial" w:hAnsi="Arial" w:cs="Arial"/>
                <w:spacing w:val="-3"/>
                <w:sz w:val="22"/>
                <w:szCs w:val="22"/>
              </w:rPr>
            </w:pPr>
            <w:r w:rsidRPr="00193406">
              <w:rPr>
                <w:rFonts w:ascii="Arial" w:hAnsi="Arial" w:cs="Arial"/>
                <w:sz w:val="22"/>
                <w:szCs w:val="22"/>
              </w:rPr>
              <w:t>Analyse where risk assessments are required in your areas, complete and review them, gaining insight and advice from relevant staff as required.</w:t>
            </w:r>
          </w:p>
          <w:p w14:paraId="0DE0599E" w14:textId="77777777" w:rsidR="00327B86" w:rsidRPr="00193406" w:rsidRDefault="00327B86" w:rsidP="00327B86">
            <w:pPr>
              <w:suppressAutoHyphens/>
              <w:jc w:val="both"/>
              <w:rPr>
                <w:rFonts w:ascii="Arial" w:hAnsi="Arial" w:cs="Arial"/>
                <w:spacing w:val="-3"/>
                <w:sz w:val="22"/>
                <w:szCs w:val="22"/>
              </w:rPr>
            </w:pPr>
          </w:p>
          <w:p w14:paraId="37BAAE5D" w14:textId="77777777" w:rsidR="00327B86" w:rsidRPr="00193406" w:rsidRDefault="00B0088E" w:rsidP="00327B86">
            <w:pPr>
              <w:suppressAutoHyphens/>
              <w:jc w:val="both"/>
              <w:rPr>
                <w:rFonts w:ascii="Arial" w:hAnsi="Arial" w:cs="Arial"/>
                <w:sz w:val="22"/>
                <w:szCs w:val="22"/>
              </w:rPr>
            </w:pPr>
            <w:r w:rsidRPr="00193406">
              <w:rPr>
                <w:rFonts w:ascii="Arial" w:hAnsi="Arial" w:cs="Arial"/>
                <w:sz w:val="22"/>
                <w:szCs w:val="22"/>
              </w:rPr>
              <w:t xml:space="preserve"> </w:t>
            </w:r>
            <w:r w:rsidRPr="00193406">
              <w:rPr>
                <w:rFonts w:ascii="Arial" w:hAnsi="Arial" w:cs="Arial"/>
                <w:b/>
                <w:sz w:val="22"/>
                <w:szCs w:val="22"/>
              </w:rPr>
              <w:t>ACCOMMODATION SPECIFIC</w:t>
            </w:r>
          </w:p>
          <w:p w14:paraId="2A9AAE74"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Work with the Accommodation Manager to ensure you are focussing on the relevant accommodation at the right time.</w:t>
            </w:r>
          </w:p>
          <w:p w14:paraId="0668CB4A"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Monitor the cleaning contract, ensuring KPI’s are met or exceeded, regularly monitoring performance, supporting the contractor as required, and challenging where necessary.</w:t>
            </w:r>
          </w:p>
          <w:p w14:paraId="715F10D0"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Ensure maintenance items are actioned in-house where possible, but escalated and monitored as necessary, to make sure that standards are always high and jobs are not left outstanding for unreasonable periods.</w:t>
            </w:r>
          </w:p>
          <w:p w14:paraId="5280897C"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 xml:space="preserve">Monitor and maintain the student social spaces across the </w:t>
            </w:r>
            <w:proofErr w:type="spellStart"/>
            <w:r w:rsidRPr="00193406">
              <w:rPr>
                <w:rFonts w:ascii="Arial" w:hAnsi="Arial" w:cs="Arial"/>
                <w:sz w:val="22"/>
                <w:szCs w:val="22"/>
              </w:rPr>
              <w:t>Bilsborrow</w:t>
            </w:r>
            <w:proofErr w:type="spellEnd"/>
            <w:r w:rsidRPr="00193406">
              <w:rPr>
                <w:rFonts w:ascii="Arial" w:hAnsi="Arial" w:cs="Arial"/>
                <w:sz w:val="22"/>
                <w:szCs w:val="22"/>
              </w:rPr>
              <w:t xml:space="preserve"> campus, working closely with student enrichment and student support to ensure the spaces are meeting the needs of the students, and enhancing their experience.</w:t>
            </w:r>
          </w:p>
          <w:p w14:paraId="32BE98A7"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To promote a vibrant student community.</w:t>
            </w:r>
          </w:p>
          <w:p w14:paraId="01699D5B"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 xml:space="preserve">Manage Check </w:t>
            </w:r>
            <w:proofErr w:type="gramStart"/>
            <w:r w:rsidRPr="00193406">
              <w:rPr>
                <w:rFonts w:ascii="Arial" w:hAnsi="Arial" w:cs="Arial"/>
                <w:sz w:val="22"/>
                <w:szCs w:val="22"/>
              </w:rPr>
              <w:t>In</w:t>
            </w:r>
            <w:proofErr w:type="gramEnd"/>
            <w:r w:rsidRPr="00193406">
              <w:rPr>
                <w:rFonts w:ascii="Arial" w:hAnsi="Arial" w:cs="Arial"/>
                <w:sz w:val="22"/>
                <w:szCs w:val="22"/>
              </w:rPr>
              <w:t xml:space="preserve"> and Check Out procedures ensuring efficiencies and room management procedures are followed, utilising the team resource effectively.</w:t>
            </w:r>
          </w:p>
          <w:p w14:paraId="4C1E9140"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Ensure there is a reception service available in relation to accommodation that meets the needs of the varying customer base.</w:t>
            </w:r>
          </w:p>
          <w:p w14:paraId="2C7DFA30" w14:textId="77777777" w:rsidR="00193406" w:rsidRDefault="00193406" w:rsidP="00645161">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 xml:space="preserve">Ensure the highest possible standards of student/customer safety and welfare ensuring compliance with Health &amp; Safety, including fire regulations, that meet learners’ requirements and support the Director of Student Support in delivering continuous safeguarding of the under 18 students in residence. </w:t>
            </w:r>
          </w:p>
          <w:p w14:paraId="4B99056E" w14:textId="69A650FD" w:rsidR="00193406" w:rsidRPr="00193406" w:rsidRDefault="00193406" w:rsidP="00645161">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Work flexibly, including weekends and evenings and across all areas of Commercial Services, to ensure the relevant facilities are operational when customers require them.</w:t>
            </w:r>
          </w:p>
        </w:tc>
      </w:tr>
    </w:tbl>
    <w:p w14:paraId="1299C43A" w14:textId="77777777" w:rsidR="002233CF" w:rsidRDefault="002233CF"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4DFE2B5B"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Competent in ICT (A) </w:t>
            </w:r>
          </w:p>
          <w:p w14:paraId="45663174"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GCSE English and Maths at Grade C/4 or above (or an equivalent</w:t>
            </w:r>
            <w:r w:rsidR="00327B86">
              <w:rPr>
                <w:rFonts w:ascii="Arial" w:hAnsi="Arial" w:cs="Arial"/>
                <w:sz w:val="21"/>
                <w:szCs w:val="21"/>
              </w:rPr>
              <w:t xml:space="preserve"> </w:t>
            </w:r>
            <w:r w:rsidRPr="00327B86">
              <w:rPr>
                <w:rFonts w:ascii="Arial" w:hAnsi="Arial" w:cs="Arial"/>
                <w:sz w:val="21"/>
                <w:szCs w:val="21"/>
              </w:rPr>
              <w:t xml:space="preserve">standard) (A/I) </w:t>
            </w:r>
          </w:p>
          <w:p w14:paraId="6E9EAAC5"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Experience of accommodation/facilities management in either the public or private sector (A) </w:t>
            </w:r>
          </w:p>
          <w:p w14:paraId="2DBF0D7D" w14:textId="27D9D25C" w:rsidR="00E34F59" w:rsidRPr="00327B86" w:rsidRDefault="00B0088E" w:rsidP="00E34F59">
            <w:pPr>
              <w:suppressAutoHyphens/>
              <w:jc w:val="both"/>
              <w:rPr>
                <w:rFonts w:ascii="Arial" w:hAnsi="Arial" w:cs="Arial"/>
                <w:spacing w:val="-3"/>
                <w:sz w:val="21"/>
                <w:szCs w:val="21"/>
              </w:rPr>
            </w:pPr>
            <w:r w:rsidRPr="00327B86">
              <w:rPr>
                <w:rFonts w:ascii="Arial" w:hAnsi="Arial" w:cs="Arial"/>
                <w:sz w:val="21"/>
                <w:szCs w:val="21"/>
              </w:rPr>
              <w:t xml:space="preserve">First aid qualification (or willingness to work towards) </w:t>
            </w:r>
            <w:r w:rsidR="00327B86">
              <w:rPr>
                <w:rFonts w:ascii="Arial" w:hAnsi="Arial" w:cs="Arial"/>
                <w:sz w:val="21"/>
                <w:szCs w:val="21"/>
              </w:rPr>
              <w:t>(</w:t>
            </w:r>
            <w:r w:rsidRPr="00327B86">
              <w:rPr>
                <w:rFonts w:ascii="Arial" w:hAnsi="Arial" w:cs="Arial"/>
                <w:sz w:val="21"/>
                <w:szCs w:val="21"/>
              </w:rPr>
              <w:t>A/I)</w:t>
            </w:r>
          </w:p>
        </w:tc>
        <w:tc>
          <w:tcPr>
            <w:tcW w:w="4394" w:type="dxa"/>
            <w:tcBorders>
              <w:bottom w:val="single" w:sz="4" w:space="0" w:color="000000"/>
            </w:tcBorders>
          </w:tcPr>
          <w:p w14:paraId="1ABE415B" w14:textId="77777777" w:rsidR="00327B86" w:rsidRDefault="00B0088E" w:rsidP="0079244C">
            <w:pPr>
              <w:suppressAutoHyphens/>
              <w:rPr>
                <w:rFonts w:ascii="Arial" w:hAnsi="Arial" w:cs="Arial"/>
                <w:sz w:val="21"/>
                <w:szCs w:val="21"/>
              </w:rPr>
            </w:pPr>
            <w:r w:rsidRPr="00327B86">
              <w:rPr>
                <w:rFonts w:ascii="Arial" w:hAnsi="Arial" w:cs="Arial"/>
                <w:sz w:val="21"/>
                <w:szCs w:val="21"/>
              </w:rPr>
              <w:t>Relevant Degree and/or appropriate professional qualification (A)</w:t>
            </w:r>
          </w:p>
          <w:p w14:paraId="6B62F1B3" w14:textId="433B912C" w:rsidR="0083243A" w:rsidRPr="00327B86" w:rsidRDefault="00B0088E" w:rsidP="0079244C">
            <w:pPr>
              <w:suppressAutoHyphens/>
              <w:rPr>
                <w:rFonts w:ascii="Arial" w:hAnsi="Arial" w:cs="Arial"/>
                <w:spacing w:val="-3"/>
                <w:sz w:val="21"/>
                <w:szCs w:val="21"/>
              </w:rPr>
            </w:pPr>
            <w:r w:rsidRPr="00327B86">
              <w:rPr>
                <w:rFonts w:ascii="Arial" w:hAnsi="Arial" w:cs="Arial"/>
                <w:sz w:val="21"/>
                <w:szCs w:val="21"/>
              </w:rPr>
              <w:t xml:space="preserve">Experience of working within an educational establishment (A) </w:t>
            </w:r>
          </w:p>
          <w:p w14:paraId="680A4E5D" w14:textId="77777777" w:rsidR="0083243A" w:rsidRPr="00327B86"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7078EDED" w:rsidR="00E34F59" w:rsidRDefault="00B0088E" w:rsidP="004A6AB6">
            <w:pPr>
              <w:suppressAutoHyphens/>
              <w:jc w:val="both"/>
              <w:rPr>
                <w:rFonts w:ascii="Arial" w:hAnsi="Arial" w:cs="Arial"/>
                <w:sz w:val="21"/>
                <w:szCs w:val="21"/>
              </w:rPr>
            </w:pPr>
            <w:r w:rsidRPr="00327B86">
              <w:rPr>
                <w:rFonts w:ascii="Arial" w:hAnsi="Arial" w:cs="Arial"/>
                <w:sz w:val="21"/>
                <w:szCs w:val="21"/>
              </w:rPr>
              <w:t xml:space="preserve">Outstanding </w:t>
            </w:r>
            <w:r w:rsidR="00327B86">
              <w:rPr>
                <w:rFonts w:ascii="Arial" w:hAnsi="Arial" w:cs="Arial"/>
                <w:sz w:val="21"/>
                <w:szCs w:val="21"/>
              </w:rPr>
              <w:t>ability to lead and manage (A/I/P/T)</w:t>
            </w:r>
          </w:p>
          <w:p w14:paraId="6A4C8492" w14:textId="6AFAF9D0" w:rsidR="00327B86" w:rsidRDefault="00327B86" w:rsidP="004A6AB6">
            <w:pPr>
              <w:suppressAutoHyphens/>
              <w:jc w:val="both"/>
              <w:rPr>
                <w:rFonts w:ascii="Arial" w:hAnsi="Arial" w:cs="Arial"/>
                <w:spacing w:val="-3"/>
                <w:sz w:val="21"/>
                <w:szCs w:val="21"/>
              </w:rPr>
            </w:pPr>
            <w:r w:rsidRPr="00327B86">
              <w:rPr>
                <w:rFonts w:ascii="Arial" w:hAnsi="Arial" w:cs="Arial"/>
                <w:spacing w:val="-3"/>
                <w:sz w:val="21"/>
                <w:szCs w:val="21"/>
              </w:rPr>
              <w:t>The capacity to com</w:t>
            </w:r>
            <w:r>
              <w:rPr>
                <w:rFonts w:ascii="Arial" w:hAnsi="Arial" w:cs="Arial"/>
                <w:spacing w:val="-3"/>
                <w:sz w:val="21"/>
                <w:szCs w:val="21"/>
              </w:rPr>
              <w:t>municate highly effectively both verbally and in the written word at all levels and via electronic methods/media (A/I/P/T)</w:t>
            </w:r>
          </w:p>
          <w:p w14:paraId="7194DBDC" w14:textId="6896EC60" w:rsidR="00AE7EC4" w:rsidRPr="00327B86" w:rsidRDefault="00327B86" w:rsidP="004A6AB6">
            <w:pPr>
              <w:suppressAutoHyphens/>
              <w:jc w:val="both"/>
              <w:rPr>
                <w:rFonts w:ascii="Arial" w:hAnsi="Arial" w:cs="Arial"/>
                <w:spacing w:val="-3"/>
                <w:sz w:val="21"/>
                <w:szCs w:val="21"/>
              </w:rPr>
            </w:pPr>
            <w:r>
              <w:rPr>
                <w:rFonts w:ascii="Arial" w:hAnsi="Arial" w:cs="Arial"/>
                <w:spacing w:val="-3"/>
                <w:sz w:val="21"/>
                <w:szCs w:val="21"/>
              </w:rPr>
              <w:t>Thorough</w:t>
            </w:r>
            <w:r w:rsidR="003F5CCA">
              <w:rPr>
                <w:rFonts w:ascii="Arial" w:hAnsi="Arial" w:cs="Arial"/>
                <w:spacing w:val="-3"/>
                <w:sz w:val="21"/>
                <w:szCs w:val="21"/>
              </w:rPr>
              <w:t xml:space="preserve"> </w:t>
            </w:r>
            <w:r>
              <w:rPr>
                <w:rFonts w:ascii="Arial" w:hAnsi="Arial" w:cs="Arial"/>
                <w:spacing w:val="-3"/>
                <w:sz w:val="21"/>
                <w:szCs w:val="21"/>
              </w:rPr>
              <w:t>knowledge and understanding of accommodation/facilities management (A/I)</w:t>
            </w: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7529CD20" w14:textId="77777777" w:rsidR="00327B86" w:rsidRDefault="00370E4B" w:rsidP="00370E4B">
            <w:pPr>
              <w:suppressAutoHyphens/>
              <w:rPr>
                <w:rFonts w:ascii="Arial" w:hAnsi="Arial" w:cs="Arial"/>
                <w:sz w:val="21"/>
                <w:szCs w:val="21"/>
              </w:rPr>
            </w:pPr>
            <w:r w:rsidRPr="00327B86">
              <w:rPr>
                <w:rFonts w:ascii="Arial" w:hAnsi="Arial" w:cs="Arial"/>
                <w:spacing w:val="-3"/>
                <w:sz w:val="21"/>
                <w:szCs w:val="21"/>
              </w:rPr>
              <w:t>O</w:t>
            </w:r>
            <w:r w:rsidRPr="00327B86">
              <w:rPr>
                <w:rFonts w:ascii="Arial" w:hAnsi="Arial" w:cs="Arial"/>
                <w:sz w:val="21"/>
                <w:szCs w:val="21"/>
              </w:rPr>
              <w:t xml:space="preserve">utstanding leadership / communication skills and the ability to motivate a team (A/I/P) </w:t>
            </w:r>
          </w:p>
          <w:p w14:paraId="36FEB5B0" w14:textId="7A4B4B44" w:rsidR="00AE7EC4" w:rsidRPr="00327B86" w:rsidRDefault="00370E4B" w:rsidP="00370E4B">
            <w:pPr>
              <w:suppressAutoHyphens/>
              <w:rPr>
                <w:rFonts w:ascii="Arial" w:hAnsi="Arial" w:cs="Arial"/>
                <w:sz w:val="21"/>
                <w:szCs w:val="21"/>
              </w:rPr>
            </w:pPr>
            <w:r w:rsidRPr="00327B86">
              <w:rPr>
                <w:rFonts w:ascii="Arial" w:hAnsi="Arial" w:cs="Arial"/>
                <w:sz w:val="21"/>
                <w:szCs w:val="21"/>
              </w:rPr>
              <w:t>Ability to confidently and accurately analyse and interpret data and make recommendations for effective action (A)</w:t>
            </w:r>
          </w:p>
        </w:tc>
        <w:tc>
          <w:tcPr>
            <w:tcW w:w="4394" w:type="dxa"/>
            <w:tcBorders>
              <w:bottom w:val="single" w:sz="4" w:space="0" w:color="000000"/>
            </w:tcBorders>
          </w:tcPr>
          <w:p w14:paraId="30D7AA69" w14:textId="00F71019"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1142ECAF" w14:textId="2B53539A" w:rsidR="00327B86" w:rsidRDefault="00370E4B" w:rsidP="00370E4B">
            <w:pPr>
              <w:suppressAutoHyphens/>
              <w:rPr>
                <w:rFonts w:ascii="Arial" w:hAnsi="Arial" w:cs="Arial"/>
                <w:sz w:val="21"/>
                <w:szCs w:val="21"/>
              </w:rPr>
            </w:pPr>
            <w:r w:rsidRPr="00327B86">
              <w:rPr>
                <w:rFonts w:ascii="Arial" w:hAnsi="Arial" w:cs="Arial"/>
                <w:sz w:val="21"/>
                <w:szCs w:val="21"/>
              </w:rPr>
              <w:t>High levels of interest in the work and satisfaction of students</w:t>
            </w:r>
            <w:r w:rsidR="003F5CCA">
              <w:rPr>
                <w:rFonts w:ascii="Arial" w:hAnsi="Arial" w:cs="Arial"/>
                <w:sz w:val="21"/>
                <w:szCs w:val="21"/>
              </w:rPr>
              <w:t>, customers</w:t>
            </w:r>
            <w:r w:rsidRPr="00327B86">
              <w:rPr>
                <w:rFonts w:ascii="Arial" w:hAnsi="Arial" w:cs="Arial"/>
                <w:sz w:val="21"/>
                <w:szCs w:val="21"/>
              </w:rPr>
              <w:t xml:space="preserve"> and staff (A/I/P/T)</w:t>
            </w:r>
          </w:p>
          <w:p w14:paraId="7196D064" w14:textId="49112A6E" w:rsidR="00E34F59" w:rsidRPr="00327B86" w:rsidRDefault="00370E4B" w:rsidP="00327B86">
            <w:pPr>
              <w:suppressAutoHyphens/>
              <w:rPr>
                <w:rFonts w:ascii="Arial" w:hAnsi="Arial" w:cs="Arial"/>
                <w:spacing w:val="-3"/>
                <w:sz w:val="21"/>
                <w:szCs w:val="21"/>
              </w:rPr>
            </w:pPr>
            <w:r w:rsidRPr="00327B86">
              <w:rPr>
                <w:rFonts w:ascii="Arial" w:hAnsi="Arial" w:cs="Arial"/>
                <w:sz w:val="21"/>
                <w:szCs w:val="21"/>
              </w:rPr>
              <w:t>Full commitment to ensuring a high-quality student/customer experience (A/I/P/T)</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43E3C1AE" w14:textId="77777777" w:rsidR="00E34F59" w:rsidRPr="00327B86"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 xml:space="preserve">Person centred </w:t>
            </w:r>
            <w:proofErr w:type="gramStart"/>
            <w:r w:rsidRPr="00327B86">
              <w:rPr>
                <w:rFonts w:ascii="Arial" w:hAnsi="Arial" w:cs="Arial"/>
                <w:spacing w:val="-3"/>
                <w:sz w:val="21"/>
                <w:szCs w:val="21"/>
              </w:rPr>
              <w:t>approach  (</w:t>
            </w:r>
            <w:proofErr w:type="gramEnd"/>
            <w:r w:rsidRPr="00327B86">
              <w:rPr>
                <w:rFonts w:ascii="Arial" w:hAnsi="Arial" w:cs="Arial"/>
                <w:spacing w:val="-3"/>
                <w:sz w:val="21"/>
                <w:szCs w:val="21"/>
              </w:rPr>
              <w:t>I)</w:t>
            </w:r>
          </w:p>
          <w:p w14:paraId="40924648"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A leader who is hard working and capable of developing the performance of others (A/I)</w:t>
            </w:r>
          </w:p>
          <w:p w14:paraId="52C35A54"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 xml:space="preserve">Outstanding communication skills (I/P/T) </w:t>
            </w:r>
          </w:p>
          <w:p w14:paraId="4DCFFC41"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Can-do attitude (A/I/P)</w:t>
            </w:r>
          </w:p>
          <w:p w14:paraId="57C2BC82"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Highly organised, flexible and proactive approach (A/I/P)</w:t>
            </w:r>
          </w:p>
          <w:p w14:paraId="76B0359C" w14:textId="74B17AD9"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58DDC0E7" w:rsidR="00E34F59" w:rsidRDefault="003F5CCA" w:rsidP="00E34F59">
            <w:pPr>
              <w:suppressAutoHyphens/>
              <w:jc w:val="center"/>
              <w:rPr>
                <w:rFonts w:ascii="Arial" w:hAnsi="Arial" w:cs="Arial"/>
                <w:spacing w:val="-3"/>
              </w:rPr>
            </w:pPr>
            <w:r>
              <w:rPr>
                <w:rFonts w:ascii="Arial" w:hAnsi="Arial" w:cs="Arial"/>
                <w:spacing w:val="-3"/>
              </w:rPr>
              <w:t xml:space="preserve">Assistant </w:t>
            </w:r>
            <w:r w:rsidR="00370E4B">
              <w:rPr>
                <w:rFonts w:ascii="Arial" w:hAnsi="Arial" w:cs="Arial"/>
                <w:spacing w:val="-3"/>
              </w:rPr>
              <w:t>Accommodation Manager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26BF42B1"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3F5CCA">
              <w:rPr>
                <w:rFonts w:ascii="Arial" w:hAnsi="Arial" w:cs="Arial"/>
                <w:spacing w:val="-3"/>
                <w:szCs w:val="24"/>
              </w:rPr>
              <w:t>23</w:t>
            </w:r>
            <w:r w:rsidR="00370E4B">
              <w:rPr>
                <w:rFonts w:ascii="Arial" w:hAnsi="Arial" w:cs="Arial"/>
                <w:spacing w:val="-3"/>
                <w:szCs w:val="24"/>
              </w:rPr>
              <w:t>,</w:t>
            </w:r>
            <w:r w:rsidR="003F5CCA">
              <w:rPr>
                <w:rFonts w:ascii="Arial" w:hAnsi="Arial" w:cs="Arial"/>
                <w:spacing w:val="-3"/>
                <w:szCs w:val="24"/>
              </w:rPr>
              <w:t>318</w:t>
            </w:r>
            <w:r>
              <w:rPr>
                <w:rFonts w:ascii="Arial" w:hAnsi="Arial" w:cs="Arial"/>
                <w:spacing w:val="-3"/>
                <w:szCs w:val="24"/>
              </w:rPr>
              <w:t xml:space="preserve"> to £</w:t>
            </w:r>
            <w:r w:rsidR="003F5CCA">
              <w:rPr>
                <w:rFonts w:ascii="Arial" w:hAnsi="Arial" w:cs="Arial"/>
                <w:spacing w:val="-3"/>
                <w:szCs w:val="24"/>
              </w:rPr>
              <w:t>26</w:t>
            </w:r>
            <w:r w:rsidR="00370E4B">
              <w:rPr>
                <w:rFonts w:ascii="Arial" w:hAnsi="Arial" w:cs="Arial"/>
                <w:spacing w:val="-3"/>
                <w:szCs w:val="24"/>
              </w:rPr>
              <w:t>,8</w:t>
            </w:r>
            <w:r w:rsidR="003F5CCA">
              <w:rPr>
                <w:rFonts w:ascii="Arial" w:hAnsi="Arial" w:cs="Arial"/>
                <w:spacing w:val="-3"/>
                <w:szCs w:val="24"/>
              </w:rPr>
              <w:t>07</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4ACC3A5A" w:rsidR="00E34F59" w:rsidRDefault="00370E4B"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w:t>
            </w:r>
            <w:r w:rsidR="00E34F59" w:rsidRPr="003F5CCA">
              <w:rPr>
                <w:rFonts w:ascii="Arial" w:hAnsi="Arial" w:cs="Arial"/>
                <w:szCs w:val="24"/>
              </w:rPr>
              <w:t>per week</w:t>
            </w:r>
            <w:r w:rsidRPr="003F5CCA">
              <w:rPr>
                <w:rFonts w:ascii="Arial" w:hAnsi="Arial" w:cs="Arial"/>
                <w:szCs w:val="24"/>
              </w:rPr>
              <w:t xml:space="preserve">, </w:t>
            </w:r>
            <w:r w:rsidRPr="003F5CCA">
              <w:rPr>
                <w:rFonts w:ascii="Arial" w:hAnsi="Arial" w:cs="Arial"/>
              </w:rPr>
              <w:t>working flexibly to suit the needs of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00A1" w14:textId="77777777" w:rsidR="00B22938" w:rsidRDefault="00B22938">
      <w:pPr>
        <w:spacing w:line="20" w:lineRule="exact"/>
      </w:pPr>
    </w:p>
  </w:endnote>
  <w:endnote w:type="continuationSeparator" w:id="0">
    <w:p w14:paraId="67CDEA5A" w14:textId="77777777" w:rsidR="00B22938" w:rsidRDefault="00B22938">
      <w:r>
        <w:t xml:space="preserve"> </w:t>
      </w:r>
    </w:p>
  </w:endnote>
  <w:endnote w:type="continuationNotice" w:id="1">
    <w:p w14:paraId="7B4995E4" w14:textId="77777777" w:rsidR="00B22938" w:rsidRDefault="00B229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5DDDB847"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346536">
      <w:rPr>
        <w:rFonts w:ascii="Arial" w:hAnsi="Arial" w:cs="Arial"/>
        <w:sz w:val="16"/>
      </w:rPr>
      <w:t>Spec</w:t>
    </w:r>
    <w:r w:rsidR="00BB0EA2">
      <w:rPr>
        <w:rFonts w:ascii="Arial" w:hAnsi="Arial" w:cs="Arial"/>
        <w:sz w:val="16"/>
      </w:rPr>
      <w:t>ifica</w:t>
    </w:r>
    <w:r w:rsidR="006E4798">
      <w:rPr>
        <w:rFonts w:ascii="Arial" w:hAnsi="Arial" w:cs="Arial"/>
        <w:sz w:val="16"/>
      </w:rPr>
      <w:t>tion –</w:t>
    </w:r>
    <w:r w:rsidR="00370E4B">
      <w:rPr>
        <w:rFonts w:ascii="Arial" w:hAnsi="Arial" w:cs="Arial"/>
        <w:sz w:val="16"/>
      </w:rPr>
      <w:t xml:space="preserve"> </w:t>
    </w:r>
    <w:r w:rsidR="00193406">
      <w:rPr>
        <w:rFonts w:ascii="Arial" w:hAnsi="Arial" w:cs="Arial"/>
        <w:sz w:val="16"/>
      </w:rPr>
      <w:t xml:space="preserve">Assistant </w:t>
    </w:r>
    <w:r w:rsidR="00370E4B">
      <w:rPr>
        <w:rFonts w:ascii="Arial" w:hAnsi="Arial" w:cs="Arial"/>
        <w:sz w:val="16"/>
      </w:rPr>
      <w:t xml:space="preserve">Accommodation Manager </w:t>
    </w:r>
    <w:r w:rsidR="006E4798">
      <w:rPr>
        <w:rFonts w:ascii="Arial" w:hAnsi="Arial" w:cs="Arial"/>
        <w:sz w:val="16"/>
      </w:rPr>
      <w:t xml:space="preserve">– </w:t>
    </w:r>
    <w:r w:rsidR="00BB0EA2">
      <w:rPr>
        <w:rFonts w:ascii="Arial" w:hAnsi="Arial" w:cs="Arial"/>
        <w:sz w:val="16"/>
      </w:rPr>
      <w:t>09.06.</w:t>
    </w:r>
    <w:r w:rsidR="006E4798">
      <w:rPr>
        <w:rFonts w:ascii="Arial" w:hAnsi="Arial" w:cs="Arial"/>
        <w:sz w:val="16"/>
      </w:rPr>
      <w:t>2022</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C012" w14:textId="77777777" w:rsidR="00B22938" w:rsidRDefault="00B22938">
      <w:r>
        <w:separator/>
      </w:r>
    </w:p>
  </w:footnote>
  <w:footnote w:type="continuationSeparator" w:id="0">
    <w:p w14:paraId="52453614" w14:textId="77777777" w:rsidR="00B22938" w:rsidRDefault="00B2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3"/>
  </w:num>
  <w:num w:numId="6">
    <w:abstractNumId w:val="13"/>
  </w:num>
  <w:num w:numId="7">
    <w:abstractNumId w:val="14"/>
  </w:num>
  <w:num w:numId="8">
    <w:abstractNumId w:val="15"/>
  </w:num>
  <w:num w:numId="9">
    <w:abstractNumId w:val="20"/>
  </w:num>
  <w:num w:numId="10">
    <w:abstractNumId w:val="25"/>
  </w:num>
  <w:num w:numId="11">
    <w:abstractNumId w:val="10"/>
  </w:num>
  <w:num w:numId="12">
    <w:abstractNumId w:val="16"/>
  </w:num>
  <w:num w:numId="13">
    <w:abstractNumId w:val="9"/>
  </w:num>
  <w:num w:numId="14">
    <w:abstractNumId w:val="10"/>
  </w:num>
  <w:num w:numId="15">
    <w:abstractNumId w:val="12"/>
  </w:num>
  <w:num w:numId="16">
    <w:abstractNumId w:val="0"/>
  </w:num>
  <w:num w:numId="17">
    <w:abstractNumId w:val="5"/>
  </w:num>
  <w:num w:numId="18">
    <w:abstractNumId w:val="19"/>
  </w:num>
  <w:num w:numId="19">
    <w:abstractNumId w:val="26"/>
  </w:num>
  <w:num w:numId="20">
    <w:abstractNumId w:val="3"/>
  </w:num>
  <w:num w:numId="21">
    <w:abstractNumId w:val="2"/>
  </w:num>
  <w:num w:numId="22">
    <w:abstractNumId w:val="17"/>
  </w:num>
  <w:num w:numId="23">
    <w:abstractNumId w:val="24"/>
  </w:num>
  <w:num w:numId="24">
    <w:abstractNumId w:val="1"/>
  </w:num>
  <w:num w:numId="25">
    <w:abstractNumId w:val="22"/>
  </w:num>
  <w:num w:numId="26">
    <w:abstractNumId w:val="21"/>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36113"/>
    <w:rsid w:val="003421F9"/>
    <w:rsid w:val="00344AC6"/>
    <w:rsid w:val="0034653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2938"/>
    <w:rsid w:val="00B26495"/>
    <w:rsid w:val="00B27C4F"/>
    <w:rsid w:val="00B4486A"/>
    <w:rsid w:val="00B44EFD"/>
    <w:rsid w:val="00B510D6"/>
    <w:rsid w:val="00B730C3"/>
    <w:rsid w:val="00B73B25"/>
    <w:rsid w:val="00B831DC"/>
    <w:rsid w:val="00B944D5"/>
    <w:rsid w:val="00B958FC"/>
    <w:rsid w:val="00B95EB3"/>
    <w:rsid w:val="00B9615B"/>
    <w:rsid w:val="00BB0EA2"/>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26</TotalTime>
  <Pages>8</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4</cp:revision>
  <cp:lastPrinted>2010-06-11T22:03:00Z</cp:lastPrinted>
  <dcterms:created xsi:type="dcterms:W3CDTF">2022-10-21T11:09:00Z</dcterms:created>
  <dcterms:modified xsi:type="dcterms:W3CDTF">2023-01-18T16:51:00Z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