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129"/>
        <w:gridCol w:w="120"/>
        <w:gridCol w:w="2940"/>
        <w:gridCol w:w="120"/>
        <w:gridCol w:w="1194"/>
        <w:gridCol w:w="120"/>
        <w:gridCol w:w="3403"/>
      </w:tblGrid>
      <w:tr w:rsidR="0081053F">
        <w:trPr>
          <w:tblCellSpacing w:w="15" w:type="dxa"/>
        </w:trPr>
        <w:tc>
          <w:tcPr>
            <w:tcW w:w="5000" w:type="pct"/>
            <w:gridSpan w:val="7"/>
            <w:shd w:val="clear" w:color="auto" w:fill="85E7FF"/>
            <w:vAlign w:val="center"/>
            <w:hideMark/>
          </w:tcPr>
          <w:p w:rsidR="0081053F" w:rsidRDefault="00484080">
            <w:pPr>
              <w:jc w:val="center"/>
              <w:rPr>
                <w:rFonts w:eastAsia="Times New Roman"/>
                <w:color w:val="000000"/>
              </w:rPr>
            </w:pPr>
            <w:r>
              <w:rPr>
                <w:rFonts w:eastAsia="Times New Roman"/>
                <w:b/>
                <w:bCs/>
                <w:color w:val="000000"/>
              </w:rPr>
              <w:t>MINUTES</w:t>
            </w:r>
          </w:p>
        </w:tc>
      </w:tr>
      <w:tr w:rsidR="0081053F">
        <w:trPr>
          <w:tblCellSpacing w:w="15" w:type="dxa"/>
        </w:trPr>
        <w:tc>
          <w:tcPr>
            <w:tcW w:w="5000" w:type="pct"/>
            <w:gridSpan w:val="7"/>
            <w:tcBorders>
              <w:bottom w:val="nil"/>
            </w:tcBorders>
            <w:shd w:val="clear" w:color="auto" w:fill="85E7FF"/>
            <w:vAlign w:val="center"/>
            <w:hideMark/>
          </w:tcPr>
          <w:p w:rsidR="0081053F" w:rsidRDefault="00484080">
            <w:pPr>
              <w:rPr>
                <w:rFonts w:eastAsia="Times New Roman"/>
              </w:rPr>
            </w:pPr>
            <w:r>
              <w:rPr>
                <w:rFonts w:eastAsia="Times New Roman"/>
              </w:rPr>
              <w:t> </w:t>
            </w:r>
          </w:p>
        </w:tc>
      </w:tr>
      <w:tr w:rsidR="0081053F">
        <w:trPr>
          <w:tblCellSpacing w:w="15" w:type="dxa"/>
        </w:trPr>
        <w:tc>
          <w:tcPr>
            <w:tcW w:w="5000" w:type="pct"/>
            <w:gridSpan w:val="7"/>
            <w:shd w:val="clear" w:color="auto" w:fill="85E7FF"/>
            <w:hideMark/>
          </w:tcPr>
          <w:p w:rsidR="0081053F" w:rsidRDefault="00484080">
            <w:pPr>
              <w:jc w:val="center"/>
              <w:rPr>
                <w:rFonts w:eastAsia="Times New Roman"/>
                <w:color w:val="000000"/>
              </w:rPr>
            </w:pPr>
            <w:r>
              <w:rPr>
                <w:rFonts w:eastAsia="Times New Roman"/>
                <w:i/>
                <w:iCs/>
                <w:color w:val="000000"/>
              </w:rPr>
              <w:t>Audit and Governance Committee No 29</w:t>
            </w:r>
          </w:p>
        </w:tc>
      </w:tr>
      <w:tr w:rsidR="0081053F">
        <w:trPr>
          <w:tblCellSpacing w:w="15" w:type="dxa"/>
        </w:trPr>
        <w:tc>
          <w:tcPr>
            <w:tcW w:w="5000" w:type="pct"/>
            <w:gridSpan w:val="7"/>
            <w:vAlign w:val="center"/>
            <w:hideMark/>
          </w:tcPr>
          <w:p w:rsidR="0081053F" w:rsidRDefault="00484080">
            <w:pPr>
              <w:rPr>
                <w:rFonts w:eastAsia="Times New Roman"/>
              </w:rPr>
            </w:pPr>
            <w:r>
              <w:rPr>
                <w:rFonts w:eastAsia="Times New Roman"/>
              </w:rPr>
              <w:t> </w:t>
            </w:r>
          </w:p>
        </w:tc>
      </w:tr>
      <w:tr w:rsidR="0081053F">
        <w:trPr>
          <w:tblCellSpacing w:w="15" w:type="dxa"/>
        </w:trPr>
        <w:tc>
          <w:tcPr>
            <w:tcW w:w="5000" w:type="pct"/>
            <w:gridSpan w:val="7"/>
            <w:vAlign w:val="center"/>
            <w:hideMark/>
          </w:tcPr>
          <w:p w:rsidR="0081053F" w:rsidRDefault="00484080">
            <w:pPr>
              <w:rPr>
                <w:rFonts w:eastAsia="Times New Roman"/>
              </w:rPr>
            </w:pPr>
            <w:r>
              <w:rPr>
                <w:rFonts w:eastAsia="Times New Roman"/>
              </w:rPr>
              <w:t> </w:t>
            </w:r>
          </w:p>
        </w:tc>
      </w:tr>
      <w:tr w:rsidR="0081053F">
        <w:trPr>
          <w:tblCellSpacing w:w="15" w:type="dxa"/>
        </w:trPr>
        <w:tc>
          <w:tcPr>
            <w:tcW w:w="500" w:type="pct"/>
            <w:hideMark/>
          </w:tcPr>
          <w:p w:rsidR="0081053F" w:rsidRDefault="00484080">
            <w:pPr>
              <w:jc w:val="right"/>
              <w:rPr>
                <w:rFonts w:eastAsia="Times New Roman"/>
              </w:rPr>
            </w:pPr>
            <w:r>
              <w:rPr>
                <w:rFonts w:eastAsia="Times New Roman"/>
              </w:rPr>
              <w:t>Date:</w:t>
            </w:r>
          </w:p>
        </w:tc>
        <w:tc>
          <w:tcPr>
            <w:tcW w:w="50" w:type="pct"/>
            <w:vAlign w:val="center"/>
            <w:hideMark/>
          </w:tcPr>
          <w:p w:rsidR="0081053F" w:rsidRDefault="00484080">
            <w:pPr>
              <w:rPr>
                <w:rFonts w:eastAsia="Times New Roman"/>
              </w:rPr>
            </w:pPr>
            <w:r>
              <w:rPr>
                <w:rFonts w:eastAsia="Times New Roman"/>
              </w:rPr>
              <w:t> </w:t>
            </w:r>
          </w:p>
        </w:tc>
        <w:tc>
          <w:tcPr>
            <w:tcW w:w="1750" w:type="pct"/>
            <w:hideMark/>
          </w:tcPr>
          <w:p w:rsidR="0081053F" w:rsidRDefault="00484080">
            <w:pPr>
              <w:rPr>
                <w:rFonts w:eastAsia="Times New Roman"/>
              </w:rPr>
            </w:pPr>
            <w:r>
              <w:rPr>
                <w:rFonts w:eastAsia="Times New Roman"/>
                <w:i/>
                <w:iCs/>
              </w:rPr>
              <w:t>12/04/2022 (Tuesday)</w:t>
            </w:r>
          </w:p>
        </w:tc>
        <w:tc>
          <w:tcPr>
            <w:tcW w:w="100" w:type="pct"/>
            <w:vAlign w:val="center"/>
            <w:hideMark/>
          </w:tcPr>
          <w:p w:rsidR="0081053F" w:rsidRDefault="00484080">
            <w:pPr>
              <w:rPr>
                <w:rFonts w:eastAsia="Times New Roman"/>
              </w:rPr>
            </w:pPr>
            <w:r>
              <w:rPr>
                <w:rFonts w:eastAsia="Times New Roman"/>
              </w:rPr>
              <w:t> </w:t>
            </w:r>
          </w:p>
        </w:tc>
        <w:tc>
          <w:tcPr>
            <w:tcW w:w="500" w:type="pct"/>
            <w:hideMark/>
          </w:tcPr>
          <w:p w:rsidR="0081053F" w:rsidRDefault="00484080">
            <w:pPr>
              <w:jc w:val="right"/>
              <w:rPr>
                <w:rFonts w:eastAsia="Times New Roman"/>
              </w:rPr>
            </w:pPr>
            <w:r>
              <w:rPr>
                <w:rFonts w:eastAsia="Times New Roman"/>
              </w:rPr>
              <w:t>Time:</w:t>
            </w:r>
          </w:p>
        </w:tc>
        <w:tc>
          <w:tcPr>
            <w:tcW w:w="50" w:type="pct"/>
            <w:vAlign w:val="center"/>
            <w:hideMark/>
          </w:tcPr>
          <w:p w:rsidR="0081053F" w:rsidRDefault="00484080">
            <w:pPr>
              <w:rPr>
                <w:rFonts w:eastAsia="Times New Roman"/>
              </w:rPr>
            </w:pPr>
            <w:r>
              <w:rPr>
                <w:rFonts w:eastAsia="Times New Roman"/>
              </w:rPr>
              <w:t> </w:t>
            </w:r>
          </w:p>
        </w:tc>
        <w:tc>
          <w:tcPr>
            <w:tcW w:w="1750" w:type="pct"/>
            <w:hideMark/>
          </w:tcPr>
          <w:p w:rsidR="0081053F" w:rsidRDefault="00484080">
            <w:pPr>
              <w:rPr>
                <w:rFonts w:eastAsia="Times New Roman"/>
              </w:rPr>
            </w:pPr>
            <w:r>
              <w:rPr>
                <w:rFonts w:eastAsia="Times New Roman"/>
                <w:i/>
                <w:iCs/>
              </w:rPr>
              <w:t>18:00–20:00</w:t>
            </w:r>
          </w:p>
        </w:tc>
      </w:tr>
      <w:tr w:rsidR="0081053F">
        <w:trPr>
          <w:tblCellSpacing w:w="15" w:type="dxa"/>
        </w:trPr>
        <w:tc>
          <w:tcPr>
            <w:tcW w:w="5000" w:type="pct"/>
            <w:gridSpan w:val="7"/>
            <w:vAlign w:val="center"/>
            <w:hideMark/>
          </w:tcPr>
          <w:p w:rsidR="0081053F" w:rsidRDefault="00484080">
            <w:pPr>
              <w:rPr>
                <w:rFonts w:eastAsia="Times New Roman"/>
              </w:rPr>
            </w:pPr>
            <w:r>
              <w:rPr>
                <w:rFonts w:eastAsia="Times New Roman"/>
              </w:rPr>
              <w:t> </w:t>
            </w:r>
          </w:p>
        </w:tc>
      </w:tr>
      <w:tr w:rsidR="0081053F">
        <w:trPr>
          <w:tblCellSpacing w:w="15" w:type="dxa"/>
        </w:trPr>
        <w:tc>
          <w:tcPr>
            <w:tcW w:w="500" w:type="pct"/>
            <w:hideMark/>
          </w:tcPr>
          <w:p w:rsidR="0081053F" w:rsidRDefault="00484080">
            <w:pPr>
              <w:jc w:val="right"/>
              <w:rPr>
                <w:rFonts w:eastAsia="Times New Roman"/>
              </w:rPr>
            </w:pPr>
            <w:r>
              <w:rPr>
                <w:rFonts w:eastAsia="Times New Roman"/>
              </w:rPr>
              <w:t>Venue:</w:t>
            </w:r>
          </w:p>
        </w:tc>
        <w:tc>
          <w:tcPr>
            <w:tcW w:w="50" w:type="pct"/>
            <w:vAlign w:val="center"/>
            <w:hideMark/>
          </w:tcPr>
          <w:p w:rsidR="0081053F" w:rsidRDefault="00484080">
            <w:pPr>
              <w:rPr>
                <w:rFonts w:eastAsia="Times New Roman"/>
              </w:rPr>
            </w:pPr>
            <w:r>
              <w:rPr>
                <w:rFonts w:eastAsia="Times New Roman"/>
              </w:rPr>
              <w:t> </w:t>
            </w:r>
          </w:p>
        </w:tc>
        <w:tc>
          <w:tcPr>
            <w:tcW w:w="1750" w:type="pct"/>
            <w:hideMark/>
          </w:tcPr>
          <w:p w:rsidR="0081053F" w:rsidRDefault="00484080">
            <w:pPr>
              <w:rPr>
                <w:rFonts w:eastAsia="Times New Roman"/>
              </w:rPr>
            </w:pPr>
            <w:r>
              <w:rPr>
                <w:rFonts w:eastAsia="Times New Roman"/>
                <w:i/>
                <w:iCs/>
              </w:rPr>
              <w:t>Via Teams</w:t>
            </w:r>
          </w:p>
        </w:tc>
        <w:tc>
          <w:tcPr>
            <w:tcW w:w="100" w:type="pct"/>
            <w:vAlign w:val="center"/>
            <w:hideMark/>
          </w:tcPr>
          <w:p w:rsidR="0081053F" w:rsidRDefault="00484080">
            <w:pPr>
              <w:rPr>
                <w:rFonts w:eastAsia="Times New Roman"/>
              </w:rPr>
            </w:pPr>
            <w:r>
              <w:rPr>
                <w:rFonts w:eastAsia="Times New Roman"/>
              </w:rPr>
              <w:t> </w:t>
            </w:r>
          </w:p>
        </w:tc>
        <w:tc>
          <w:tcPr>
            <w:tcW w:w="500" w:type="pct"/>
            <w:hideMark/>
          </w:tcPr>
          <w:p w:rsidR="0081053F" w:rsidRDefault="00484080">
            <w:pPr>
              <w:jc w:val="right"/>
              <w:rPr>
                <w:rFonts w:eastAsia="Times New Roman"/>
              </w:rPr>
            </w:pPr>
            <w:r>
              <w:rPr>
                <w:rFonts w:eastAsia="Times New Roman"/>
              </w:rPr>
              <w:t>Committee:</w:t>
            </w:r>
          </w:p>
        </w:tc>
        <w:tc>
          <w:tcPr>
            <w:tcW w:w="50" w:type="pct"/>
            <w:vAlign w:val="center"/>
            <w:hideMark/>
          </w:tcPr>
          <w:p w:rsidR="0081053F" w:rsidRDefault="00484080">
            <w:pPr>
              <w:rPr>
                <w:rFonts w:eastAsia="Times New Roman"/>
              </w:rPr>
            </w:pPr>
            <w:r>
              <w:rPr>
                <w:rFonts w:eastAsia="Times New Roman"/>
              </w:rPr>
              <w:t> </w:t>
            </w:r>
          </w:p>
        </w:tc>
        <w:tc>
          <w:tcPr>
            <w:tcW w:w="1750" w:type="pct"/>
            <w:hideMark/>
          </w:tcPr>
          <w:p w:rsidR="0081053F" w:rsidRDefault="00484080">
            <w:pPr>
              <w:rPr>
                <w:rFonts w:eastAsia="Times New Roman"/>
              </w:rPr>
            </w:pPr>
            <w:r>
              <w:rPr>
                <w:rFonts w:eastAsia="Times New Roman"/>
                <w:i/>
                <w:iCs/>
              </w:rPr>
              <w:t>Audit and Governance</w:t>
            </w:r>
          </w:p>
        </w:tc>
      </w:tr>
      <w:tr w:rsidR="0081053F">
        <w:trPr>
          <w:tblCellSpacing w:w="15" w:type="dxa"/>
        </w:trPr>
        <w:tc>
          <w:tcPr>
            <w:tcW w:w="5000" w:type="pct"/>
            <w:gridSpan w:val="7"/>
            <w:vAlign w:val="center"/>
            <w:hideMark/>
          </w:tcPr>
          <w:p w:rsidR="0081053F" w:rsidRDefault="00484080">
            <w:pPr>
              <w:rPr>
                <w:rFonts w:eastAsia="Times New Roman"/>
              </w:rPr>
            </w:pPr>
            <w:r>
              <w:rPr>
                <w:rFonts w:eastAsia="Times New Roman"/>
              </w:rPr>
              <w:t> </w:t>
            </w:r>
          </w:p>
        </w:tc>
      </w:tr>
      <w:tr w:rsidR="0081053F">
        <w:trPr>
          <w:tblCellSpacing w:w="15" w:type="dxa"/>
        </w:trPr>
        <w:tc>
          <w:tcPr>
            <w:tcW w:w="500" w:type="pct"/>
            <w:hideMark/>
          </w:tcPr>
          <w:p w:rsidR="0081053F" w:rsidRDefault="00484080">
            <w:pPr>
              <w:jc w:val="right"/>
              <w:rPr>
                <w:rFonts w:eastAsia="Times New Roman"/>
              </w:rPr>
            </w:pPr>
            <w:r>
              <w:rPr>
                <w:rFonts w:eastAsia="Times New Roman"/>
              </w:rPr>
              <w:t>Notes:</w:t>
            </w:r>
          </w:p>
        </w:tc>
        <w:tc>
          <w:tcPr>
            <w:tcW w:w="50" w:type="pct"/>
            <w:vAlign w:val="center"/>
            <w:hideMark/>
          </w:tcPr>
          <w:p w:rsidR="0081053F" w:rsidRDefault="00484080">
            <w:pPr>
              <w:rPr>
                <w:rFonts w:eastAsia="Times New Roman"/>
              </w:rPr>
            </w:pPr>
            <w:r>
              <w:rPr>
                <w:rFonts w:eastAsia="Times New Roman"/>
              </w:rPr>
              <w:t> </w:t>
            </w:r>
          </w:p>
        </w:tc>
        <w:tc>
          <w:tcPr>
            <w:tcW w:w="2700" w:type="pct"/>
            <w:gridSpan w:val="5"/>
            <w:hideMark/>
          </w:tcPr>
          <w:p w:rsidR="0081053F" w:rsidRDefault="00484080">
            <w:pPr>
              <w:rPr>
                <w:rFonts w:eastAsia="Times New Roman"/>
              </w:rPr>
            </w:pPr>
            <w:r>
              <w:rPr>
                <w:rFonts w:eastAsia="Times New Roman"/>
                <w:i/>
                <w:iCs/>
              </w:rPr>
              <w:t>Due to what on this occasion is likely to be a short meeting the Chair has decided that the meeting will be held via Teams.</w:t>
            </w:r>
          </w:p>
        </w:tc>
      </w:tr>
      <w:tr w:rsidR="0081053F">
        <w:trPr>
          <w:tblCellSpacing w:w="15" w:type="dxa"/>
        </w:trPr>
        <w:tc>
          <w:tcPr>
            <w:tcW w:w="5000" w:type="pct"/>
            <w:gridSpan w:val="7"/>
            <w:vAlign w:val="center"/>
            <w:hideMark/>
          </w:tcPr>
          <w:p w:rsidR="0081053F" w:rsidRDefault="00484080">
            <w:pPr>
              <w:rPr>
                <w:rFonts w:eastAsia="Times New Roman"/>
              </w:rPr>
            </w:pPr>
            <w:r>
              <w:rPr>
                <w:rFonts w:eastAsia="Times New Roman"/>
              </w:rPr>
              <w:t> </w:t>
            </w:r>
          </w:p>
        </w:tc>
      </w:tr>
      <w:tr w:rsidR="0081053F">
        <w:trPr>
          <w:tblCellSpacing w:w="15" w:type="dxa"/>
        </w:trPr>
        <w:tc>
          <w:tcPr>
            <w:tcW w:w="5000" w:type="pct"/>
            <w:gridSpan w:val="7"/>
            <w:vAlign w:val="center"/>
            <w:hideMark/>
          </w:tcPr>
          <w:p w:rsidR="0081053F" w:rsidRDefault="00484080">
            <w:pPr>
              <w:rPr>
                <w:rFonts w:eastAsia="Times New Roman"/>
              </w:rPr>
            </w:pPr>
            <w:r>
              <w:rPr>
                <w:rFonts w:eastAsia="Times New Roman"/>
              </w:rPr>
              <w:t> </w:t>
            </w:r>
          </w:p>
        </w:tc>
      </w:tr>
      <w:tr w:rsidR="0081053F">
        <w:trPr>
          <w:tblCellSpacing w:w="15" w:type="dxa"/>
        </w:trPr>
        <w:tc>
          <w:tcPr>
            <w:tcW w:w="500" w:type="pct"/>
            <w:hideMark/>
          </w:tcPr>
          <w:p w:rsidR="0081053F" w:rsidRDefault="00484080">
            <w:pPr>
              <w:jc w:val="right"/>
              <w:rPr>
                <w:rFonts w:eastAsia="Times New Roman"/>
              </w:rPr>
            </w:pPr>
            <w:r>
              <w:rPr>
                <w:rFonts w:eastAsia="Times New Roman"/>
              </w:rPr>
              <w:t>Present:</w:t>
            </w:r>
          </w:p>
        </w:tc>
        <w:tc>
          <w:tcPr>
            <w:tcW w:w="50" w:type="pct"/>
            <w:vAlign w:val="center"/>
            <w:hideMark/>
          </w:tcPr>
          <w:p w:rsidR="0081053F" w:rsidRDefault="00484080">
            <w:pPr>
              <w:rPr>
                <w:rFonts w:eastAsia="Times New Roman"/>
              </w:rPr>
            </w:pPr>
            <w:r>
              <w:rPr>
                <w:rFonts w:eastAsia="Times New Roman"/>
              </w:rPr>
              <w:t> </w:t>
            </w:r>
          </w:p>
        </w:tc>
        <w:tc>
          <w:tcPr>
            <w:tcW w:w="2700" w:type="pct"/>
            <w:gridSpan w:val="5"/>
            <w:hideMark/>
          </w:tcPr>
          <w:p w:rsidR="0081053F" w:rsidRDefault="00484080">
            <w:pPr>
              <w:rPr>
                <w:rFonts w:eastAsia="Times New Roman"/>
              </w:rPr>
            </w:pPr>
            <w:r>
              <w:rPr>
                <w:rFonts w:eastAsia="Times New Roman"/>
                <w:i/>
                <w:iCs/>
              </w:rPr>
              <w:t xml:space="preserve">Barbara </w:t>
            </w:r>
            <w:proofErr w:type="spellStart"/>
            <w:r>
              <w:rPr>
                <w:rFonts w:eastAsia="Times New Roman"/>
                <w:i/>
                <w:iCs/>
              </w:rPr>
              <w:t>Godby</w:t>
            </w:r>
            <w:proofErr w:type="spellEnd"/>
            <w:r>
              <w:rPr>
                <w:rFonts w:eastAsia="Times New Roman"/>
                <w:i/>
                <w:iCs/>
              </w:rPr>
              <w:t>, Debbie Clayton, Jane Booker (Chair), Robert Wallace and Robin Newton-</w:t>
            </w:r>
            <w:proofErr w:type="spellStart"/>
            <w:r>
              <w:rPr>
                <w:rFonts w:eastAsia="Times New Roman"/>
                <w:i/>
                <w:iCs/>
              </w:rPr>
              <w:t>Syms</w:t>
            </w:r>
            <w:proofErr w:type="spellEnd"/>
          </w:p>
        </w:tc>
      </w:tr>
      <w:tr w:rsidR="0081053F">
        <w:trPr>
          <w:tblCellSpacing w:w="15" w:type="dxa"/>
        </w:trPr>
        <w:tc>
          <w:tcPr>
            <w:tcW w:w="5000" w:type="pct"/>
            <w:gridSpan w:val="7"/>
            <w:vAlign w:val="center"/>
            <w:hideMark/>
          </w:tcPr>
          <w:p w:rsidR="0081053F" w:rsidRDefault="00484080">
            <w:pPr>
              <w:rPr>
                <w:rFonts w:eastAsia="Times New Roman"/>
              </w:rPr>
            </w:pPr>
            <w:r>
              <w:rPr>
                <w:rFonts w:eastAsia="Times New Roman"/>
              </w:rPr>
              <w:t> </w:t>
            </w:r>
          </w:p>
        </w:tc>
      </w:tr>
      <w:tr w:rsidR="0081053F">
        <w:trPr>
          <w:tblCellSpacing w:w="15" w:type="dxa"/>
        </w:trPr>
        <w:tc>
          <w:tcPr>
            <w:tcW w:w="500" w:type="pct"/>
            <w:hideMark/>
          </w:tcPr>
          <w:p w:rsidR="0081053F" w:rsidRDefault="00484080">
            <w:pPr>
              <w:jc w:val="right"/>
              <w:rPr>
                <w:rFonts w:eastAsia="Times New Roman"/>
              </w:rPr>
            </w:pPr>
            <w:r>
              <w:rPr>
                <w:rFonts w:eastAsia="Times New Roman"/>
              </w:rPr>
              <w:t>Attending:</w:t>
            </w:r>
          </w:p>
        </w:tc>
        <w:tc>
          <w:tcPr>
            <w:tcW w:w="50" w:type="pct"/>
            <w:vAlign w:val="center"/>
            <w:hideMark/>
          </w:tcPr>
          <w:p w:rsidR="0081053F" w:rsidRDefault="00484080">
            <w:pPr>
              <w:rPr>
                <w:rFonts w:eastAsia="Times New Roman"/>
              </w:rPr>
            </w:pPr>
            <w:r>
              <w:rPr>
                <w:rFonts w:eastAsia="Times New Roman"/>
              </w:rPr>
              <w:t> </w:t>
            </w:r>
          </w:p>
        </w:tc>
        <w:tc>
          <w:tcPr>
            <w:tcW w:w="2700" w:type="pct"/>
            <w:gridSpan w:val="5"/>
            <w:hideMark/>
          </w:tcPr>
          <w:p w:rsidR="0081053F" w:rsidRDefault="00484080">
            <w:pPr>
              <w:rPr>
                <w:rFonts w:eastAsia="Times New Roman"/>
              </w:rPr>
            </w:pPr>
            <w:r>
              <w:rPr>
                <w:rFonts w:eastAsia="Times New Roman"/>
                <w:i/>
                <w:iCs/>
              </w:rPr>
              <w:t xml:space="preserve">Joanne Sherrington (Deputy Principal) and Steven </w:t>
            </w:r>
            <w:proofErr w:type="spellStart"/>
            <w:r>
              <w:rPr>
                <w:rFonts w:eastAsia="Times New Roman"/>
                <w:i/>
                <w:iCs/>
              </w:rPr>
              <w:t>Downham</w:t>
            </w:r>
            <w:proofErr w:type="spellEnd"/>
            <w:r>
              <w:rPr>
                <w:rFonts w:eastAsia="Times New Roman"/>
                <w:i/>
                <w:iCs/>
              </w:rPr>
              <w:t>-Clarke (Vice Principal)</w:t>
            </w:r>
          </w:p>
        </w:tc>
      </w:tr>
      <w:tr w:rsidR="0081053F">
        <w:trPr>
          <w:tblCellSpacing w:w="15" w:type="dxa"/>
        </w:trPr>
        <w:tc>
          <w:tcPr>
            <w:tcW w:w="5000" w:type="pct"/>
            <w:gridSpan w:val="7"/>
            <w:vAlign w:val="center"/>
            <w:hideMark/>
          </w:tcPr>
          <w:p w:rsidR="0081053F" w:rsidRDefault="00484080">
            <w:pPr>
              <w:rPr>
                <w:rFonts w:eastAsia="Times New Roman"/>
              </w:rPr>
            </w:pPr>
            <w:r>
              <w:rPr>
                <w:rFonts w:eastAsia="Times New Roman"/>
              </w:rPr>
              <w:t> </w:t>
            </w:r>
          </w:p>
        </w:tc>
      </w:tr>
      <w:tr w:rsidR="0081053F">
        <w:trPr>
          <w:tblCellSpacing w:w="15" w:type="dxa"/>
        </w:trPr>
        <w:tc>
          <w:tcPr>
            <w:tcW w:w="500" w:type="pct"/>
            <w:hideMark/>
          </w:tcPr>
          <w:p w:rsidR="0081053F" w:rsidRDefault="00484080">
            <w:pPr>
              <w:jc w:val="right"/>
              <w:rPr>
                <w:rFonts w:eastAsia="Times New Roman"/>
              </w:rPr>
            </w:pPr>
            <w:r>
              <w:rPr>
                <w:rFonts w:eastAsia="Times New Roman"/>
              </w:rPr>
              <w:t>Clerks:</w:t>
            </w:r>
          </w:p>
        </w:tc>
        <w:tc>
          <w:tcPr>
            <w:tcW w:w="50" w:type="pct"/>
            <w:vAlign w:val="center"/>
            <w:hideMark/>
          </w:tcPr>
          <w:p w:rsidR="0081053F" w:rsidRDefault="00484080">
            <w:pPr>
              <w:rPr>
                <w:rFonts w:eastAsia="Times New Roman"/>
              </w:rPr>
            </w:pPr>
            <w:r>
              <w:rPr>
                <w:rFonts w:eastAsia="Times New Roman"/>
              </w:rPr>
              <w:t> </w:t>
            </w:r>
          </w:p>
        </w:tc>
        <w:tc>
          <w:tcPr>
            <w:tcW w:w="2700" w:type="pct"/>
            <w:gridSpan w:val="5"/>
            <w:hideMark/>
          </w:tcPr>
          <w:p w:rsidR="0081053F" w:rsidRDefault="00484080">
            <w:pPr>
              <w:rPr>
                <w:rFonts w:eastAsia="Times New Roman"/>
              </w:rPr>
            </w:pPr>
            <w:r>
              <w:rPr>
                <w:rFonts w:eastAsia="Times New Roman"/>
                <w:i/>
                <w:iCs/>
              </w:rPr>
              <w:t>Ron Matthews (Clerk)</w:t>
            </w:r>
          </w:p>
        </w:tc>
      </w:tr>
      <w:tr w:rsidR="0081053F">
        <w:trPr>
          <w:tblCellSpacing w:w="15" w:type="dxa"/>
        </w:trPr>
        <w:tc>
          <w:tcPr>
            <w:tcW w:w="5000" w:type="pct"/>
            <w:gridSpan w:val="7"/>
            <w:vAlign w:val="center"/>
            <w:hideMark/>
          </w:tcPr>
          <w:p w:rsidR="0081053F" w:rsidRDefault="00484080">
            <w:pPr>
              <w:rPr>
                <w:rFonts w:eastAsia="Times New Roman"/>
              </w:rPr>
            </w:pPr>
            <w:r>
              <w:rPr>
                <w:rFonts w:eastAsia="Times New Roman"/>
              </w:rPr>
              <w:t> </w:t>
            </w:r>
          </w:p>
        </w:tc>
      </w:tr>
      <w:tr w:rsidR="0081053F">
        <w:trPr>
          <w:tblCellSpacing w:w="15" w:type="dxa"/>
        </w:trPr>
        <w:tc>
          <w:tcPr>
            <w:tcW w:w="500" w:type="pct"/>
            <w:hideMark/>
          </w:tcPr>
          <w:p w:rsidR="0081053F" w:rsidRDefault="00484080">
            <w:pPr>
              <w:jc w:val="right"/>
              <w:rPr>
                <w:rFonts w:eastAsia="Times New Roman"/>
              </w:rPr>
            </w:pPr>
            <w:r>
              <w:rPr>
                <w:rFonts w:eastAsia="Times New Roman"/>
              </w:rPr>
              <w:t>Guests:</w:t>
            </w:r>
          </w:p>
        </w:tc>
        <w:tc>
          <w:tcPr>
            <w:tcW w:w="50" w:type="pct"/>
            <w:vAlign w:val="center"/>
            <w:hideMark/>
          </w:tcPr>
          <w:p w:rsidR="0081053F" w:rsidRDefault="00484080">
            <w:pPr>
              <w:rPr>
                <w:rFonts w:eastAsia="Times New Roman"/>
              </w:rPr>
            </w:pPr>
            <w:r>
              <w:rPr>
                <w:rFonts w:eastAsia="Times New Roman"/>
              </w:rPr>
              <w:t> </w:t>
            </w:r>
          </w:p>
        </w:tc>
        <w:tc>
          <w:tcPr>
            <w:tcW w:w="2700" w:type="pct"/>
            <w:gridSpan w:val="5"/>
            <w:hideMark/>
          </w:tcPr>
          <w:p w:rsidR="0081053F" w:rsidRDefault="00484080">
            <w:pPr>
              <w:rPr>
                <w:rFonts w:eastAsia="Times New Roman"/>
              </w:rPr>
            </w:pPr>
            <w:r>
              <w:rPr>
                <w:rFonts w:eastAsia="Times New Roman"/>
                <w:i/>
                <w:iCs/>
              </w:rPr>
              <w:t>Allan Foster and Jane Butterfield (Internal Auditor)</w:t>
            </w:r>
          </w:p>
        </w:tc>
      </w:tr>
      <w:tr w:rsidR="0081053F">
        <w:trPr>
          <w:tblCellSpacing w:w="15" w:type="dxa"/>
        </w:trPr>
        <w:tc>
          <w:tcPr>
            <w:tcW w:w="5000" w:type="pct"/>
            <w:gridSpan w:val="7"/>
            <w:vAlign w:val="center"/>
            <w:hideMark/>
          </w:tcPr>
          <w:p w:rsidR="0081053F" w:rsidRDefault="00484080">
            <w:pPr>
              <w:rPr>
                <w:rFonts w:eastAsia="Times New Roman"/>
              </w:rPr>
            </w:pPr>
            <w:r>
              <w:rPr>
                <w:rFonts w:eastAsia="Times New Roman"/>
              </w:rPr>
              <w:t> </w:t>
            </w:r>
          </w:p>
        </w:tc>
      </w:tr>
      <w:tr w:rsidR="0081053F">
        <w:trPr>
          <w:tblCellSpacing w:w="15" w:type="dxa"/>
        </w:trPr>
        <w:tc>
          <w:tcPr>
            <w:tcW w:w="5000" w:type="pct"/>
            <w:gridSpan w:val="7"/>
            <w:vAlign w:val="center"/>
            <w:hideMark/>
          </w:tcPr>
          <w:p w:rsidR="0081053F" w:rsidRDefault="00484080">
            <w:pPr>
              <w:rPr>
                <w:rFonts w:eastAsia="Times New Roman"/>
              </w:rPr>
            </w:pPr>
            <w:r>
              <w:rPr>
                <w:rFonts w:eastAsia="Times New Roman"/>
              </w:rPr>
              <w:t> </w:t>
            </w:r>
          </w:p>
        </w:tc>
      </w:tr>
      <w:tr w:rsidR="0081053F">
        <w:trPr>
          <w:tblCellSpacing w:w="15" w:type="dxa"/>
        </w:trPr>
        <w:tc>
          <w:tcPr>
            <w:tcW w:w="500" w:type="pct"/>
            <w:hideMark/>
          </w:tcPr>
          <w:p w:rsidR="0081053F" w:rsidRDefault="00484080">
            <w:pPr>
              <w:jc w:val="right"/>
              <w:rPr>
                <w:rFonts w:eastAsia="Times New Roman"/>
              </w:rPr>
            </w:pPr>
            <w:r>
              <w:rPr>
                <w:rFonts w:eastAsia="Times New Roman"/>
              </w:rPr>
              <w:t>Apologies:</w:t>
            </w:r>
          </w:p>
        </w:tc>
        <w:tc>
          <w:tcPr>
            <w:tcW w:w="50" w:type="pct"/>
            <w:vAlign w:val="center"/>
            <w:hideMark/>
          </w:tcPr>
          <w:p w:rsidR="0081053F" w:rsidRDefault="00484080">
            <w:pPr>
              <w:rPr>
                <w:rFonts w:eastAsia="Times New Roman"/>
              </w:rPr>
            </w:pPr>
            <w:r>
              <w:rPr>
                <w:rFonts w:eastAsia="Times New Roman"/>
              </w:rPr>
              <w:t> </w:t>
            </w:r>
          </w:p>
        </w:tc>
        <w:tc>
          <w:tcPr>
            <w:tcW w:w="2700" w:type="pct"/>
            <w:gridSpan w:val="5"/>
            <w:hideMark/>
          </w:tcPr>
          <w:p w:rsidR="0081053F" w:rsidRDefault="00484080">
            <w:pPr>
              <w:rPr>
                <w:rFonts w:eastAsia="Times New Roman"/>
              </w:rPr>
            </w:pPr>
            <w:r>
              <w:rPr>
                <w:rFonts w:eastAsia="Times New Roman"/>
                <w:i/>
                <w:iCs/>
              </w:rPr>
              <w:t xml:space="preserve">Alison Robinson (Principal) and Bert </w:t>
            </w:r>
            <w:proofErr w:type="spellStart"/>
            <w:r>
              <w:rPr>
                <w:rFonts w:eastAsia="Times New Roman"/>
                <w:i/>
                <w:iCs/>
              </w:rPr>
              <w:t>Medhurst</w:t>
            </w:r>
            <w:proofErr w:type="spellEnd"/>
          </w:p>
        </w:tc>
      </w:tr>
      <w:tr w:rsidR="0081053F">
        <w:trPr>
          <w:tblCellSpacing w:w="15" w:type="dxa"/>
        </w:trPr>
        <w:tc>
          <w:tcPr>
            <w:tcW w:w="5000" w:type="pct"/>
            <w:gridSpan w:val="7"/>
            <w:vAlign w:val="center"/>
            <w:hideMark/>
          </w:tcPr>
          <w:p w:rsidR="0081053F" w:rsidRDefault="00484080">
            <w:pPr>
              <w:rPr>
                <w:rFonts w:eastAsia="Times New Roman"/>
              </w:rPr>
            </w:pPr>
            <w:r>
              <w:rPr>
                <w:rFonts w:eastAsia="Times New Roman"/>
              </w:rPr>
              <w:t> </w:t>
            </w:r>
          </w:p>
        </w:tc>
      </w:tr>
    </w:tbl>
    <w:p w:rsidR="0081053F" w:rsidRDefault="0081053F">
      <w:pPr>
        <w:pStyle w:val="NormalWeb"/>
        <w:pageBreakBefore/>
        <w:spacing w:before="0" w:beforeAutospacing="0" w:after="0" w:afterAutospacing="0"/>
        <w:rPr>
          <w:vanish/>
        </w:rPr>
      </w:pPr>
    </w:p>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32"/>
        <w:gridCol w:w="7194"/>
      </w:tblGrid>
      <w:tr w:rsidR="0081053F">
        <w:trPr>
          <w:tblCellSpacing w:w="15" w:type="dxa"/>
        </w:trPr>
        <w:tc>
          <w:tcPr>
            <w:tcW w:w="5000" w:type="pct"/>
            <w:gridSpan w:val="2"/>
            <w:vAlign w:val="center"/>
            <w:hideMark/>
          </w:tcPr>
          <w:p w:rsidR="0081053F" w:rsidRDefault="00484080">
            <w:pPr>
              <w:jc w:val="center"/>
              <w:rPr>
                <w:rFonts w:eastAsia="Times New Roman"/>
              </w:rPr>
            </w:pPr>
            <w:r>
              <w:rPr>
                <w:rFonts w:eastAsia="Times New Roman"/>
                <w:b/>
                <w:bCs/>
                <w:i/>
                <w:iCs/>
              </w:rPr>
              <w:t>Public</w:t>
            </w:r>
            <w:r>
              <w:rPr>
                <w:rFonts w:eastAsia="Times New Roman"/>
                <w:b/>
                <w:bCs/>
              </w:rPr>
              <w:t xml:space="preserve"> Minutes</w:t>
            </w:r>
          </w:p>
        </w:tc>
      </w:tr>
      <w:tr w:rsidR="0081053F">
        <w:trPr>
          <w:tblCellSpacing w:w="15" w:type="dxa"/>
        </w:trPr>
        <w:tc>
          <w:tcPr>
            <w:tcW w:w="5000" w:type="pct"/>
            <w:gridSpan w:val="2"/>
            <w:vAlign w:val="center"/>
            <w:hideMark/>
          </w:tcPr>
          <w:p w:rsidR="0081053F" w:rsidRDefault="00484080">
            <w:pPr>
              <w:rPr>
                <w:rFonts w:eastAsia="Times New Roman"/>
              </w:rPr>
            </w:pPr>
            <w:r>
              <w:rPr>
                <w:rFonts w:eastAsia="Times New Roman"/>
              </w:rPr>
              <w:t> </w:t>
            </w:r>
          </w:p>
        </w:tc>
      </w:tr>
      <w:tr w:rsidR="0081053F">
        <w:trPr>
          <w:tblCellSpacing w:w="15" w:type="dxa"/>
        </w:trPr>
        <w:tc>
          <w:tcPr>
            <w:tcW w:w="1000" w:type="pct"/>
            <w:hideMark/>
          </w:tcPr>
          <w:p w:rsidR="0081053F" w:rsidRDefault="00484080">
            <w:pPr>
              <w:rPr>
                <w:rFonts w:eastAsia="Times New Roman"/>
              </w:rPr>
            </w:pPr>
            <w:r>
              <w:rPr>
                <w:rFonts w:eastAsia="Times New Roman"/>
              </w:rPr>
              <w:t>Item number:</w:t>
            </w:r>
          </w:p>
        </w:tc>
        <w:tc>
          <w:tcPr>
            <w:tcW w:w="4000" w:type="pct"/>
            <w:hideMark/>
          </w:tcPr>
          <w:p w:rsidR="0081053F" w:rsidRDefault="00484080">
            <w:pPr>
              <w:rPr>
                <w:rFonts w:eastAsia="Times New Roman"/>
              </w:rPr>
            </w:pPr>
            <w:r>
              <w:rPr>
                <w:rFonts w:eastAsia="Times New Roman"/>
              </w:rPr>
              <w:t>Item description:</w:t>
            </w:r>
          </w:p>
        </w:tc>
      </w:tr>
      <w:tr w:rsidR="0081053F">
        <w:trPr>
          <w:tblCellSpacing w:w="15" w:type="dxa"/>
        </w:trPr>
        <w:tc>
          <w:tcPr>
            <w:tcW w:w="1000" w:type="pct"/>
            <w:hideMark/>
          </w:tcPr>
          <w:p w:rsidR="0081053F" w:rsidRDefault="00484080">
            <w:pPr>
              <w:rPr>
                <w:rFonts w:eastAsia="Times New Roman"/>
              </w:rPr>
            </w:pPr>
            <w:r>
              <w:rPr>
                <w:rFonts w:eastAsia="Times New Roman"/>
              </w:rPr>
              <w:t>(and category)</w:t>
            </w:r>
          </w:p>
        </w:tc>
        <w:tc>
          <w:tcPr>
            <w:tcW w:w="4000" w:type="pct"/>
            <w:hideMark/>
          </w:tcPr>
          <w:p w:rsidR="0081053F" w:rsidRDefault="00484080">
            <w:pPr>
              <w:rPr>
                <w:rFonts w:eastAsia="Times New Roman"/>
              </w:rPr>
            </w:pPr>
            <w:r>
              <w:rPr>
                <w:rFonts w:eastAsia="Times New Roman"/>
              </w:rPr>
              <w:t> </w:t>
            </w:r>
          </w:p>
        </w:tc>
      </w:tr>
      <w:tr w:rsidR="0081053F">
        <w:trPr>
          <w:tblCellSpacing w:w="15" w:type="dxa"/>
        </w:trPr>
        <w:tc>
          <w:tcPr>
            <w:tcW w:w="5000" w:type="pct"/>
            <w:gridSpan w:val="2"/>
            <w:vAlign w:val="center"/>
            <w:hideMark/>
          </w:tcPr>
          <w:p w:rsidR="0081053F" w:rsidRDefault="00484080">
            <w:pPr>
              <w:rPr>
                <w:rFonts w:eastAsia="Times New Roman"/>
              </w:rPr>
            </w:pPr>
            <w:r>
              <w:rPr>
                <w:rFonts w:eastAsia="Times New Roman"/>
              </w:rPr>
              <w:t> </w:t>
            </w:r>
          </w:p>
        </w:tc>
      </w:tr>
      <w:tr w:rsidR="0081053F">
        <w:trPr>
          <w:tblCellSpacing w:w="15" w:type="dxa"/>
        </w:trPr>
        <w:tc>
          <w:tcPr>
            <w:tcW w:w="1000" w:type="pct"/>
            <w:hideMark/>
          </w:tcPr>
          <w:p w:rsidR="0081053F" w:rsidRDefault="00484080">
            <w:pPr>
              <w:rPr>
                <w:rFonts w:eastAsia="Times New Roman"/>
              </w:rPr>
            </w:pPr>
            <w:r>
              <w:rPr>
                <w:rFonts w:eastAsia="Times New Roman"/>
                <w:b/>
                <w:bCs/>
              </w:rPr>
              <w:t>20.22</w:t>
            </w:r>
          </w:p>
        </w:tc>
        <w:tc>
          <w:tcPr>
            <w:tcW w:w="4000" w:type="pct"/>
            <w:hideMark/>
          </w:tcPr>
          <w:p w:rsidR="0081053F" w:rsidRDefault="00484080">
            <w:pPr>
              <w:rPr>
                <w:rFonts w:eastAsia="Times New Roman"/>
              </w:rPr>
            </w:pPr>
            <w:r>
              <w:rPr>
                <w:rFonts w:eastAsia="Times New Roman"/>
                <w:b/>
                <w:bCs/>
                <w:i/>
                <w:iCs/>
              </w:rPr>
              <w:t>Attendance of College Management</w:t>
            </w:r>
          </w:p>
        </w:tc>
      </w:tr>
      <w:tr w:rsidR="0081053F">
        <w:trPr>
          <w:tblCellSpacing w:w="15" w:type="dxa"/>
        </w:trPr>
        <w:tc>
          <w:tcPr>
            <w:tcW w:w="1000" w:type="pct"/>
            <w:hideMark/>
          </w:tcPr>
          <w:p w:rsidR="0081053F" w:rsidRDefault="00484080">
            <w:pPr>
              <w:rPr>
                <w:rFonts w:eastAsia="Times New Roman"/>
              </w:rPr>
            </w:pPr>
            <w:r>
              <w:rPr>
                <w:rFonts w:eastAsia="Times New Roman"/>
                <w:b/>
                <w:bCs/>
                <w:i/>
                <w:iCs/>
              </w:rPr>
              <w:t>Decision</w:t>
            </w:r>
          </w:p>
        </w:tc>
        <w:tc>
          <w:tcPr>
            <w:tcW w:w="4000" w:type="pct"/>
            <w:hideMark/>
          </w:tcPr>
          <w:p w:rsidR="004A7B24" w:rsidRDefault="00484080">
            <w:pPr>
              <w:rPr>
                <w:rFonts w:eastAsia="Times New Roman"/>
              </w:rPr>
            </w:pPr>
            <w:r>
              <w:rPr>
                <w:rFonts w:eastAsia="Times New Roman"/>
              </w:rPr>
              <w:t>Section 8.1 of the current Constitution and Terms of Reference for the Audit and Governance Committee states "the Principal or any other senior manager who is responsible for the College's internal control and a representative of the Internal Auditors shall normally attend meetings at the invitation of the Committee and the Committee shall have the power to invite such other persons to attend meetings as may be desirable or necessary".</w:t>
            </w:r>
            <w:r>
              <w:rPr>
                <w:rFonts w:eastAsia="Times New Roman"/>
              </w:rPr>
              <w:br w:type="page"/>
            </w:r>
            <w:r>
              <w:rPr>
                <w:rFonts w:eastAsia="Times New Roman"/>
              </w:rPr>
              <w:br w:type="page"/>
            </w:r>
          </w:p>
          <w:p w:rsidR="004A7B24" w:rsidRDefault="004A7B24">
            <w:pPr>
              <w:rPr>
                <w:rFonts w:eastAsia="Times New Roman"/>
              </w:rPr>
            </w:pPr>
          </w:p>
          <w:p w:rsidR="004A7B24" w:rsidRDefault="00484080">
            <w:pPr>
              <w:rPr>
                <w:rFonts w:eastAsia="Times New Roman"/>
              </w:rPr>
            </w:pPr>
            <w:r>
              <w:rPr>
                <w:rStyle w:val="Strong"/>
                <w:rFonts w:eastAsia="Times New Roman"/>
              </w:rPr>
              <w:t>Resolved:</w:t>
            </w:r>
            <w:r>
              <w:rPr>
                <w:rFonts w:eastAsia="Times New Roman"/>
              </w:rPr>
              <w:br w:type="page"/>
            </w:r>
            <w:r>
              <w:rPr>
                <w:rFonts w:eastAsia="Times New Roman"/>
              </w:rPr>
              <w:br w:type="page"/>
            </w:r>
          </w:p>
          <w:p w:rsidR="004A7B24" w:rsidRDefault="004A7B24">
            <w:pPr>
              <w:rPr>
                <w:rFonts w:eastAsia="Times New Roman"/>
              </w:rPr>
            </w:pPr>
          </w:p>
          <w:p w:rsidR="0081053F" w:rsidRDefault="00484080">
            <w:pPr>
              <w:rPr>
                <w:rFonts w:eastAsia="Times New Roman"/>
              </w:rPr>
            </w:pPr>
            <w:r>
              <w:rPr>
                <w:rStyle w:val="Strong"/>
                <w:rFonts w:eastAsia="Times New Roman"/>
              </w:rPr>
              <w:t>That College Management Staff and the Internal Audit representative, Jane Butterfield, attend the meeting.</w:t>
            </w:r>
            <w:r>
              <w:rPr>
                <w:rFonts w:eastAsia="Times New Roman"/>
                <w:b/>
                <w:bCs/>
              </w:rPr>
              <w:br w:type="page"/>
            </w:r>
            <w:r>
              <w:rPr>
                <w:rFonts w:eastAsia="Times New Roman"/>
                <w:b/>
                <w:bCs/>
              </w:rPr>
              <w:br w:type="page"/>
            </w:r>
          </w:p>
        </w:tc>
      </w:tr>
      <w:tr w:rsidR="0081053F">
        <w:trPr>
          <w:tblCellSpacing w:w="15" w:type="dxa"/>
        </w:trPr>
        <w:tc>
          <w:tcPr>
            <w:tcW w:w="5000" w:type="pct"/>
            <w:gridSpan w:val="2"/>
            <w:vAlign w:val="center"/>
            <w:hideMark/>
          </w:tcPr>
          <w:p w:rsidR="0081053F" w:rsidRDefault="00484080">
            <w:pPr>
              <w:rPr>
                <w:rFonts w:eastAsia="Times New Roman"/>
              </w:rPr>
            </w:pPr>
            <w:r>
              <w:rPr>
                <w:rFonts w:eastAsia="Times New Roman"/>
              </w:rPr>
              <w:t> </w:t>
            </w:r>
          </w:p>
        </w:tc>
      </w:tr>
      <w:tr w:rsidR="0081053F">
        <w:trPr>
          <w:tblCellSpacing w:w="15" w:type="dxa"/>
        </w:trPr>
        <w:tc>
          <w:tcPr>
            <w:tcW w:w="1000" w:type="pct"/>
            <w:hideMark/>
          </w:tcPr>
          <w:p w:rsidR="0081053F" w:rsidRDefault="00484080">
            <w:pPr>
              <w:rPr>
                <w:rFonts w:eastAsia="Times New Roman"/>
              </w:rPr>
            </w:pPr>
            <w:r>
              <w:rPr>
                <w:rFonts w:eastAsia="Times New Roman"/>
                <w:b/>
                <w:bCs/>
              </w:rPr>
              <w:t>21.22</w:t>
            </w:r>
          </w:p>
        </w:tc>
        <w:tc>
          <w:tcPr>
            <w:tcW w:w="4000" w:type="pct"/>
            <w:hideMark/>
          </w:tcPr>
          <w:p w:rsidR="0081053F" w:rsidRDefault="00484080">
            <w:pPr>
              <w:rPr>
                <w:rFonts w:eastAsia="Times New Roman"/>
              </w:rPr>
            </w:pPr>
            <w:r>
              <w:rPr>
                <w:rFonts w:eastAsia="Times New Roman"/>
                <w:b/>
                <w:bCs/>
                <w:i/>
                <w:iCs/>
              </w:rPr>
              <w:t>Apologies for Absence</w:t>
            </w:r>
          </w:p>
        </w:tc>
      </w:tr>
      <w:tr w:rsidR="0081053F">
        <w:trPr>
          <w:tblCellSpacing w:w="15" w:type="dxa"/>
        </w:trPr>
        <w:tc>
          <w:tcPr>
            <w:tcW w:w="1000" w:type="pct"/>
            <w:hideMark/>
          </w:tcPr>
          <w:p w:rsidR="0081053F" w:rsidRDefault="00484080">
            <w:pPr>
              <w:rPr>
                <w:rFonts w:eastAsia="Times New Roman"/>
              </w:rPr>
            </w:pPr>
            <w:r>
              <w:rPr>
                <w:rFonts w:eastAsia="Times New Roman"/>
                <w:b/>
                <w:bCs/>
                <w:i/>
                <w:iCs/>
              </w:rPr>
              <w:t>Record</w:t>
            </w:r>
          </w:p>
        </w:tc>
        <w:tc>
          <w:tcPr>
            <w:tcW w:w="4000" w:type="pct"/>
            <w:hideMark/>
          </w:tcPr>
          <w:p w:rsidR="0081053F" w:rsidRDefault="00484080">
            <w:pPr>
              <w:rPr>
                <w:rFonts w:eastAsia="Times New Roman"/>
              </w:rPr>
            </w:pPr>
            <w:r>
              <w:rPr>
                <w:rFonts w:eastAsia="Times New Roman"/>
              </w:rPr>
              <w:t xml:space="preserve">Apologies had been received from Debbie Clayton, Bert </w:t>
            </w:r>
            <w:proofErr w:type="spellStart"/>
            <w:r>
              <w:rPr>
                <w:rFonts w:eastAsia="Times New Roman"/>
              </w:rPr>
              <w:t>Medhurst</w:t>
            </w:r>
            <w:proofErr w:type="spellEnd"/>
            <w:r>
              <w:rPr>
                <w:rFonts w:eastAsia="Times New Roman"/>
              </w:rPr>
              <w:t>, Student Governor, and the Principal, Alison Robinson.</w:t>
            </w:r>
            <w:r>
              <w:rPr>
                <w:rFonts w:eastAsia="Times New Roman"/>
              </w:rPr>
              <w:br w:type="page"/>
            </w:r>
            <w:r>
              <w:rPr>
                <w:rFonts w:eastAsia="Times New Roman"/>
              </w:rPr>
              <w:br w:type="page"/>
            </w:r>
          </w:p>
        </w:tc>
      </w:tr>
      <w:tr w:rsidR="0081053F">
        <w:trPr>
          <w:tblCellSpacing w:w="15" w:type="dxa"/>
        </w:trPr>
        <w:tc>
          <w:tcPr>
            <w:tcW w:w="5000" w:type="pct"/>
            <w:gridSpan w:val="2"/>
            <w:vAlign w:val="center"/>
            <w:hideMark/>
          </w:tcPr>
          <w:p w:rsidR="0081053F" w:rsidRDefault="00484080">
            <w:pPr>
              <w:rPr>
                <w:rFonts w:eastAsia="Times New Roman"/>
              </w:rPr>
            </w:pPr>
            <w:r>
              <w:rPr>
                <w:rFonts w:eastAsia="Times New Roman"/>
              </w:rPr>
              <w:t> </w:t>
            </w:r>
          </w:p>
        </w:tc>
      </w:tr>
      <w:tr w:rsidR="0081053F">
        <w:trPr>
          <w:tblCellSpacing w:w="15" w:type="dxa"/>
        </w:trPr>
        <w:tc>
          <w:tcPr>
            <w:tcW w:w="1000" w:type="pct"/>
            <w:hideMark/>
          </w:tcPr>
          <w:p w:rsidR="0081053F" w:rsidRDefault="00484080">
            <w:pPr>
              <w:rPr>
                <w:rFonts w:eastAsia="Times New Roman"/>
              </w:rPr>
            </w:pPr>
            <w:r>
              <w:rPr>
                <w:rFonts w:eastAsia="Times New Roman"/>
                <w:b/>
                <w:bCs/>
              </w:rPr>
              <w:t>22.22</w:t>
            </w:r>
          </w:p>
        </w:tc>
        <w:tc>
          <w:tcPr>
            <w:tcW w:w="4000" w:type="pct"/>
            <w:hideMark/>
          </w:tcPr>
          <w:p w:rsidR="0081053F" w:rsidRDefault="00484080">
            <w:pPr>
              <w:rPr>
                <w:rFonts w:eastAsia="Times New Roman"/>
              </w:rPr>
            </w:pPr>
            <w:r>
              <w:rPr>
                <w:rFonts w:eastAsia="Times New Roman"/>
                <w:b/>
                <w:bCs/>
                <w:i/>
                <w:iCs/>
              </w:rPr>
              <w:t>Declarations of Interest</w:t>
            </w:r>
          </w:p>
        </w:tc>
      </w:tr>
      <w:tr w:rsidR="0081053F">
        <w:trPr>
          <w:tblCellSpacing w:w="15" w:type="dxa"/>
        </w:trPr>
        <w:tc>
          <w:tcPr>
            <w:tcW w:w="1000" w:type="pct"/>
            <w:hideMark/>
          </w:tcPr>
          <w:p w:rsidR="0081053F" w:rsidRDefault="00484080">
            <w:pPr>
              <w:rPr>
                <w:rFonts w:eastAsia="Times New Roman"/>
              </w:rPr>
            </w:pPr>
            <w:r>
              <w:rPr>
                <w:rFonts w:eastAsia="Times New Roman"/>
                <w:b/>
                <w:bCs/>
                <w:i/>
                <w:iCs/>
              </w:rPr>
              <w:t>Record</w:t>
            </w:r>
          </w:p>
        </w:tc>
        <w:tc>
          <w:tcPr>
            <w:tcW w:w="4000" w:type="pct"/>
            <w:hideMark/>
          </w:tcPr>
          <w:p w:rsidR="0081053F" w:rsidRDefault="00484080">
            <w:pPr>
              <w:rPr>
                <w:rFonts w:eastAsia="Times New Roman"/>
              </w:rPr>
            </w:pPr>
            <w:r>
              <w:rPr>
                <w:rFonts w:eastAsia="Times New Roman"/>
              </w:rPr>
              <w:t>There were no declarations of interest made in respect of the items on the public agenda.</w:t>
            </w:r>
            <w:r>
              <w:rPr>
                <w:rFonts w:eastAsia="Times New Roman"/>
              </w:rPr>
              <w:br w:type="page"/>
            </w:r>
            <w:r>
              <w:rPr>
                <w:rFonts w:eastAsia="Times New Roman"/>
              </w:rPr>
              <w:br w:type="page"/>
            </w:r>
          </w:p>
        </w:tc>
      </w:tr>
      <w:tr w:rsidR="0081053F">
        <w:trPr>
          <w:tblCellSpacing w:w="15" w:type="dxa"/>
        </w:trPr>
        <w:tc>
          <w:tcPr>
            <w:tcW w:w="5000" w:type="pct"/>
            <w:gridSpan w:val="2"/>
            <w:vAlign w:val="center"/>
            <w:hideMark/>
          </w:tcPr>
          <w:p w:rsidR="0081053F" w:rsidRDefault="00484080">
            <w:pPr>
              <w:rPr>
                <w:rFonts w:eastAsia="Times New Roman"/>
              </w:rPr>
            </w:pPr>
            <w:r>
              <w:rPr>
                <w:rFonts w:eastAsia="Times New Roman"/>
              </w:rPr>
              <w:t> </w:t>
            </w:r>
          </w:p>
        </w:tc>
      </w:tr>
      <w:tr w:rsidR="0081053F">
        <w:trPr>
          <w:tblCellSpacing w:w="15" w:type="dxa"/>
        </w:trPr>
        <w:tc>
          <w:tcPr>
            <w:tcW w:w="1000" w:type="pct"/>
            <w:hideMark/>
          </w:tcPr>
          <w:p w:rsidR="0081053F" w:rsidRDefault="00484080">
            <w:pPr>
              <w:rPr>
                <w:rFonts w:eastAsia="Times New Roman"/>
              </w:rPr>
            </w:pPr>
            <w:r>
              <w:rPr>
                <w:rFonts w:eastAsia="Times New Roman"/>
                <w:b/>
                <w:bCs/>
              </w:rPr>
              <w:t>23.22</w:t>
            </w:r>
          </w:p>
        </w:tc>
        <w:tc>
          <w:tcPr>
            <w:tcW w:w="4000" w:type="pct"/>
            <w:hideMark/>
          </w:tcPr>
          <w:p w:rsidR="0081053F" w:rsidRDefault="00484080">
            <w:pPr>
              <w:rPr>
                <w:rFonts w:eastAsia="Times New Roman"/>
              </w:rPr>
            </w:pPr>
            <w:r>
              <w:rPr>
                <w:rFonts w:eastAsia="Times New Roman"/>
                <w:b/>
                <w:bCs/>
                <w:i/>
                <w:iCs/>
              </w:rPr>
              <w:t>Minutes of Previous Meeting</w:t>
            </w:r>
          </w:p>
        </w:tc>
      </w:tr>
      <w:tr w:rsidR="0081053F">
        <w:trPr>
          <w:tblCellSpacing w:w="15" w:type="dxa"/>
        </w:trPr>
        <w:tc>
          <w:tcPr>
            <w:tcW w:w="1000" w:type="pct"/>
            <w:hideMark/>
          </w:tcPr>
          <w:p w:rsidR="0081053F" w:rsidRDefault="00484080">
            <w:pPr>
              <w:rPr>
                <w:rFonts w:eastAsia="Times New Roman"/>
              </w:rPr>
            </w:pPr>
            <w:r>
              <w:rPr>
                <w:rFonts w:eastAsia="Times New Roman"/>
                <w:b/>
                <w:bCs/>
                <w:i/>
                <w:iCs/>
              </w:rPr>
              <w:t>Decision</w:t>
            </w:r>
          </w:p>
        </w:tc>
        <w:tc>
          <w:tcPr>
            <w:tcW w:w="4000" w:type="pct"/>
            <w:hideMark/>
          </w:tcPr>
          <w:p w:rsidR="0081053F" w:rsidRDefault="00484080">
            <w:pPr>
              <w:rPr>
                <w:rFonts w:eastAsia="Times New Roman"/>
              </w:rPr>
            </w:pPr>
            <w:r>
              <w:rPr>
                <w:rFonts w:eastAsia="Times New Roman"/>
              </w:rPr>
              <w:t>The public minutes of Audit and Governance meeting number 28 held on Tuesday 1 February 2022, published on the extranet, were agreed and signed as a true and accurate record of the meeting.</w:t>
            </w:r>
            <w:r>
              <w:rPr>
                <w:rFonts w:eastAsia="Times New Roman"/>
              </w:rPr>
              <w:br w:type="page"/>
            </w:r>
            <w:r>
              <w:rPr>
                <w:rFonts w:eastAsia="Times New Roman"/>
              </w:rPr>
              <w:br w:type="page"/>
            </w:r>
          </w:p>
        </w:tc>
      </w:tr>
      <w:tr w:rsidR="0081053F">
        <w:trPr>
          <w:tblCellSpacing w:w="15" w:type="dxa"/>
        </w:trPr>
        <w:tc>
          <w:tcPr>
            <w:tcW w:w="5000" w:type="pct"/>
            <w:gridSpan w:val="2"/>
            <w:vAlign w:val="center"/>
            <w:hideMark/>
          </w:tcPr>
          <w:p w:rsidR="0081053F" w:rsidRDefault="00484080">
            <w:pPr>
              <w:rPr>
                <w:rFonts w:eastAsia="Times New Roman"/>
              </w:rPr>
            </w:pPr>
            <w:r>
              <w:rPr>
                <w:rFonts w:eastAsia="Times New Roman"/>
              </w:rPr>
              <w:t> </w:t>
            </w:r>
          </w:p>
        </w:tc>
      </w:tr>
      <w:tr w:rsidR="0081053F">
        <w:trPr>
          <w:tblCellSpacing w:w="15" w:type="dxa"/>
        </w:trPr>
        <w:tc>
          <w:tcPr>
            <w:tcW w:w="1000" w:type="pct"/>
            <w:hideMark/>
          </w:tcPr>
          <w:p w:rsidR="0081053F" w:rsidRDefault="00484080">
            <w:pPr>
              <w:rPr>
                <w:rFonts w:eastAsia="Times New Roman"/>
              </w:rPr>
            </w:pPr>
            <w:r>
              <w:rPr>
                <w:rFonts w:eastAsia="Times New Roman"/>
                <w:b/>
                <w:bCs/>
              </w:rPr>
              <w:t>24.22</w:t>
            </w:r>
          </w:p>
        </w:tc>
        <w:tc>
          <w:tcPr>
            <w:tcW w:w="4000" w:type="pct"/>
            <w:hideMark/>
          </w:tcPr>
          <w:p w:rsidR="0081053F" w:rsidRDefault="00484080">
            <w:pPr>
              <w:rPr>
                <w:rFonts w:eastAsia="Times New Roman"/>
              </w:rPr>
            </w:pPr>
            <w:r>
              <w:rPr>
                <w:rFonts w:eastAsia="Times New Roman"/>
                <w:b/>
                <w:bCs/>
                <w:i/>
                <w:iCs/>
              </w:rPr>
              <w:t>Internal Audit Reports</w:t>
            </w:r>
          </w:p>
        </w:tc>
      </w:tr>
      <w:tr w:rsidR="0081053F">
        <w:trPr>
          <w:tblCellSpacing w:w="15" w:type="dxa"/>
        </w:trPr>
        <w:tc>
          <w:tcPr>
            <w:tcW w:w="1000" w:type="pct"/>
            <w:hideMark/>
          </w:tcPr>
          <w:p w:rsidR="0081053F" w:rsidRDefault="00484080">
            <w:pPr>
              <w:rPr>
                <w:rFonts w:eastAsia="Times New Roman"/>
              </w:rPr>
            </w:pPr>
            <w:r>
              <w:rPr>
                <w:rFonts w:eastAsia="Times New Roman"/>
                <w:b/>
                <w:bCs/>
                <w:i/>
                <w:iCs/>
              </w:rPr>
              <w:t>Decision</w:t>
            </w:r>
          </w:p>
        </w:tc>
        <w:tc>
          <w:tcPr>
            <w:tcW w:w="4000" w:type="pct"/>
            <w:hideMark/>
          </w:tcPr>
          <w:p w:rsidR="004A7B24" w:rsidRDefault="00484080">
            <w:pPr>
              <w:rPr>
                <w:rFonts w:eastAsia="Times New Roman"/>
              </w:rPr>
            </w:pPr>
            <w:r>
              <w:rPr>
                <w:rFonts w:eastAsia="Times New Roman"/>
              </w:rPr>
              <w:t>The Internal Auditor, Jane Butterfield, presented two reports on assurance reviews.</w:t>
            </w:r>
            <w:r>
              <w:rPr>
                <w:rFonts w:eastAsia="Times New Roman"/>
              </w:rPr>
              <w:br w:type="page"/>
            </w:r>
            <w:r>
              <w:rPr>
                <w:rFonts w:eastAsia="Times New Roman"/>
              </w:rPr>
              <w:br w:type="page"/>
            </w:r>
          </w:p>
          <w:p w:rsidR="004A7B24" w:rsidRDefault="004A7B24">
            <w:pPr>
              <w:rPr>
                <w:rFonts w:eastAsia="Times New Roman"/>
              </w:rPr>
            </w:pPr>
          </w:p>
          <w:p w:rsidR="004A7B24" w:rsidRDefault="00484080">
            <w:pPr>
              <w:rPr>
                <w:rFonts w:eastAsia="Times New Roman"/>
              </w:rPr>
            </w:pPr>
            <w:r>
              <w:rPr>
                <w:rFonts w:eastAsia="Times New Roman"/>
              </w:rPr>
              <w:t>The first report was an Assurance Review of Safeguarding with just one routine recommendation made.</w:t>
            </w:r>
          </w:p>
          <w:p w:rsidR="004A7B24" w:rsidRDefault="004A7B24">
            <w:pPr>
              <w:rPr>
                <w:rFonts w:eastAsia="Times New Roman"/>
              </w:rPr>
            </w:pPr>
          </w:p>
          <w:p w:rsidR="004A7B24" w:rsidRDefault="00484080">
            <w:pPr>
              <w:rPr>
                <w:rFonts w:eastAsia="Times New Roman"/>
              </w:rPr>
            </w:pPr>
            <w:r>
              <w:rPr>
                <w:rFonts w:eastAsia="Times New Roman"/>
              </w:rPr>
              <w:br w:type="page"/>
            </w:r>
            <w:r>
              <w:rPr>
                <w:rFonts w:eastAsia="Times New Roman"/>
              </w:rPr>
              <w:br w:type="page"/>
              <w:t>It was noted that the Policy and Procedure for Visitors was presently incorporated into the Health and Safety Policy and Procedure and there were plans to make this a separate policy. The recommendation, which was accepted by Management, was that this separate policy be developed.</w:t>
            </w:r>
            <w:r>
              <w:rPr>
                <w:rFonts w:eastAsia="Times New Roman"/>
              </w:rPr>
              <w:br w:type="page"/>
            </w:r>
            <w:r>
              <w:rPr>
                <w:rFonts w:eastAsia="Times New Roman"/>
              </w:rPr>
              <w:br w:type="page"/>
            </w:r>
          </w:p>
          <w:p w:rsidR="004A7B24" w:rsidRDefault="004A7B24">
            <w:pPr>
              <w:rPr>
                <w:rFonts w:eastAsia="Times New Roman"/>
              </w:rPr>
            </w:pPr>
          </w:p>
          <w:p w:rsidR="004A7B24" w:rsidRDefault="00484080">
            <w:pPr>
              <w:rPr>
                <w:rFonts w:eastAsia="Times New Roman"/>
              </w:rPr>
            </w:pPr>
            <w:r>
              <w:rPr>
                <w:rFonts w:eastAsia="Times New Roman"/>
              </w:rPr>
              <w:t>Governors commented that it was pleasing to receive strong assurance with regard to Safeguarding.</w:t>
            </w:r>
            <w:r>
              <w:rPr>
                <w:rFonts w:eastAsia="Times New Roman"/>
              </w:rPr>
              <w:br w:type="page"/>
            </w:r>
            <w:r>
              <w:rPr>
                <w:rFonts w:eastAsia="Times New Roman"/>
              </w:rPr>
              <w:br w:type="page"/>
            </w:r>
          </w:p>
          <w:p w:rsidR="004A7B24" w:rsidRDefault="00484080">
            <w:pPr>
              <w:rPr>
                <w:rFonts w:eastAsia="Times New Roman"/>
              </w:rPr>
            </w:pPr>
            <w:r>
              <w:rPr>
                <w:rFonts w:eastAsia="Times New Roman"/>
              </w:rPr>
              <w:lastRenderedPageBreak/>
              <w:t>The second assurance review was on Capital Expenditure. Again there was just one routine recommendation made.</w:t>
            </w:r>
            <w:r>
              <w:rPr>
                <w:rFonts w:eastAsia="Times New Roman"/>
              </w:rPr>
              <w:br w:type="page"/>
            </w:r>
            <w:r>
              <w:rPr>
                <w:rFonts w:eastAsia="Times New Roman"/>
              </w:rPr>
              <w:br w:type="page"/>
            </w:r>
          </w:p>
          <w:p w:rsidR="004A7B24" w:rsidRDefault="004A7B24">
            <w:pPr>
              <w:rPr>
                <w:rFonts w:eastAsia="Times New Roman"/>
              </w:rPr>
            </w:pPr>
          </w:p>
          <w:p w:rsidR="004A7B24" w:rsidRDefault="00484080" w:rsidP="004A7B24">
            <w:pPr>
              <w:rPr>
                <w:rFonts w:eastAsia="Times New Roman"/>
              </w:rPr>
            </w:pPr>
            <w:r>
              <w:rPr>
                <w:rFonts w:eastAsia="Times New Roman"/>
              </w:rPr>
              <w:t xml:space="preserve">Currently, there was no formal cycle in place for conducting condition surveys. The College had </w:t>
            </w:r>
            <w:r w:rsidR="004A7B24">
              <w:rPr>
                <w:rFonts w:eastAsia="Times New Roman"/>
              </w:rPr>
              <w:t>previously</w:t>
            </w:r>
            <w:r>
              <w:rPr>
                <w:rFonts w:eastAsia="Times New Roman"/>
              </w:rPr>
              <w:t xml:space="preserve"> employed a qualified surveyor within the Estates team who assisted in the internal surveys. However, at present time there are no members of staff with necessary qualifications to be able to carry out surveys.</w:t>
            </w:r>
            <w:r>
              <w:rPr>
                <w:rFonts w:eastAsia="Times New Roman"/>
              </w:rPr>
              <w:br w:type="page"/>
            </w:r>
            <w:r>
              <w:rPr>
                <w:rFonts w:eastAsia="Times New Roman"/>
              </w:rPr>
              <w:br w:type="page"/>
            </w:r>
          </w:p>
          <w:p w:rsidR="004A7B24" w:rsidRDefault="004A7B24" w:rsidP="004A7B24">
            <w:pPr>
              <w:rPr>
                <w:rFonts w:eastAsia="Times New Roman"/>
              </w:rPr>
            </w:pPr>
          </w:p>
          <w:p w:rsidR="004A7B24" w:rsidRDefault="00484080" w:rsidP="004A7B24">
            <w:pPr>
              <w:rPr>
                <w:rFonts w:eastAsia="Times New Roman"/>
              </w:rPr>
            </w:pPr>
            <w:r>
              <w:rPr>
                <w:rFonts w:eastAsia="Times New Roman"/>
              </w:rPr>
              <w:t>The recommendation was that a formal cycle for conducting condition surveys be established for all of the College's asset base.</w:t>
            </w:r>
          </w:p>
          <w:p w:rsidR="004A7B24" w:rsidRDefault="004A7B24" w:rsidP="004A7B24">
            <w:pPr>
              <w:rPr>
                <w:rFonts w:eastAsia="Times New Roman"/>
              </w:rPr>
            </w:pPr>
          </w:p>
          <w:p w:rsidR="004A7B24" w:rsidRDefault="00484080" w:rsidP="004A7B24">
            <w:pPr>
              <w:rPr>
                <w:rFonts w:eastAsia="Times New Roman"/>
              </w:rPr>
            </w:pPr>
            <w:r>
              <w:rPr>
                <w:rFonts w:eastAsia="Times New Roman"/>
              </w:rPr>
              <w:br w:type="page"/>
            </w:r>
            <w:r>
              <w:rPr>
                <w:rFonts w:eastAsia="Times New Roman"/>
              </w:rPr>
              <w:br w:type="page"/>
              <w:t>Management responded that the condition of the estate was understood by management and a mechanism was in place to confirm the condition of an asset if required. There would be a significant cost to the College if a formal cycle of conducting condition surveys was established, given the number of individual buildings involved. It would possibly be more cost effective to appoint a member of staff who is qualified to undertake this type of work if a suitable vacancy arises. Management will consider adding this aspect to the Estates Manager role if a recruitment opportunity arose.</w:t>
            </w:r>
            <w:r>
              <w:rPr>
                <w:rFonts w:eastAsia="Times New Roman"/>
              </w:rPr>
              <w:br w:type="page"/>
            </w:r>
            <w:r>
              <w:rPr>
                <w:rFonts w:eastAsia="Times New Roman"/>
              </w:rPr>
              <w:br w:type="page"/>
            </w:r>
          </w:p>
          <w:p w:rsidR="004A7B24" w:rsidRDefault="004A7B24" w:rsidP="004A7B24">
            <w:pPr>
              <w:rPr>
                <w:rFonts w:eastAsia="Times New Roman"/>
              </w:rPr>
            </w:pPr>
          </w:p>
          <w:p w:rsidR="004A7B24" w:rsidRDefault="00484080" w:rsidP="004A7B24">
            <w:pPr>
              <w:rPr>
                <w:rFonts w:eastAsia="Times New Roman"/>
              </w:rPr>
            </w:pPr>
            <w:r>
              <w:rPr>
                <w:rFonts w:eastAsia="Times New Roman"/>
              </w:rPr>
              <w:t>Governors considered the above and following further information from Management accepted the response.</w:t>
            </w:r>
            <w:r>
              <w:rPr>
                <w:rFonts w:eastAsia="Times New Roman"/>
              </w:rPr>
              <w:br w:type="page"/>
            </w:r>
            <w:r>
              <w:rPr>
                <w:rFonts w:eastAsia="Times New Roman"/>
              </w:rPr>
              <w:br w:type="page"/>
            </w:r>
          </w:p>
          <w:p w:rsidR="004A7B24" w:rsidRDefault="004A7B24" w:rsidP="004A7B24">
            <w:pPr>
              <w:rPr>
                <w:rFonts w:eastAsia="Times New Roman"/>
              </w:rPr>
            </w:pPr>
          </w:p>
          <w:p w:rsidR="004A7B24" w:rsidRDefault="00484080" w:rsidP="004A7B24">
            <w:pPr>
              <w:rPr>
                <w:rFonts w:eastAsia="Times New Roman"/>
                <w:b/>
                <w:bCs/>
              </w:rPr>
            </w:pPr>
            <w:r>
              <w:rPr>
                <w:rStyle w:val="Strong"/>
                <w:rFonts w:eastAsia="Times New Roman"/>
              </w:rPr>
              <w:t>Resolved:</w:t>
            </w:r>
            <w:r>
              <w:rPr>
                <w:rFonts w:eastAsia="Times New Roman"/>
                <w:b/>
                <w:bCs/>
              </w:rPr>
              <w:br w:type="page"/>
            </w:r>
            <w:r>
              <w:rPr>
                <w:rFonts w:eastAsia="Times New Roman"/>
                <w:b/>
                <w:bCs/>
              </w:rPr>
              <w:br w:type="page"/>
            </w:r>
          </w:p>
          <w:p w:rsidR="004A7B24" w:rsidRDefault="004A7B24" w:rsidP="004A7B24">
            <w:pPr>
              <w:rPr>
                <w:rFonts w:eastAsia="Times New Roman"/>
                <w:b/>
                <w:bCs/>
              </w:rPr>
            </w:pPr>
          </w:p>
          <w:p w:rsidR="0081053F" w:rsidRDefault="00484080" w:rsidP="004A7B24">
            <w:pPr>
              <w:rPr>
                <w:rFonts w:eastAsia="Times New Roman"/>
              </w:rPr>
            </w:pPr>
            <w:r>
              <w:rPr>
                <w:rStyle w:val="Strong"/>
                <w:rFonts w:eastAsia="Times New Roman"/>
              </w:rPr>
              <w:t>That the reports be received and the responses of Management be noted.</w:t>
            </w:r>
            <w:r>
              <w:rPr>
                <w:rFonts w:eastAsia="Times New Roman"/>
                <w:b/>
                <w:bCs/>
              </w:rPr>
              <w:br w:type="page"/>
            </w:r>
            <w:r>
              <w:rPr>
                <w:rFonts w:eastAsia="Times New Roman"/>
                <w:b/>
                <w:bCs/>
              </w:rPr>
              <w:br w:type="page"/>
            </w:r>
          </w:p>
        </w:tc>
      </w:tr>
      <w:tr w:rsidR="0081053F">
        <w:trPr>
          <w:tblCellSpacing w:w="15" w:type="dxa"/>
        </w:trPr>
        <w:tc>
          <w:tcPr>
            <w:tcW w:w="5000" w:type="pct"/>
            <w:gridSpan w:val="2"/>
            <w:vAlign w:val="center"/>
            <w:hideMark/>
          </w:tcPr>
          <w:p w:rsidR="0081053F" w:rsidRDefault="00484080">
            <w:pPr>
              <w:rPr>
                <w:rFonts w:eastAsia="Times New Roman"/>
              </w:rPr>
            </w:pPr>
            <w:r>
              <w:rPr>
                <w:rFonts w:eastAsia="Times New Roman"/>
              </w:rPr>
              <w:lastRenderedPageBreak/>
              <w:t> </w:t>
            </w:r>
          </w:p>
        </w:tc>
      </w:tr>
      <w:tr w:rsidR="0081053F">
        <w:trPr>
          <w:tblCellSpacing w:w="15" w:type="dxa"/>
        </w:trPr>
        <w:tc>
          <w:tcPr>
            <w:tcW w:w="1000" w:type="pct"/>
            <w:hideMark/>
          </w:tcPr>
          <w:p w:rsidR="0081053F" w:rsidRDefault="00484080">
            <w:pPr>
              <w:rPr>
                <w:rFonts w:eastAsia="Times New Roman"/>
              </w:rPr>
            </w:pPr>
            <w:r>
              <w:rPr>
                <w:rFonts w:eastAsia="Times New Roman"/>
                <w:b/>
                <w:bCs/>
              </w:rPr>
              <w:t>25.22</w:t>
            </w:r>
          </w:p>
        </w:tc>
        <w:tc>
          <w:tcPr>
            <w:tcW w:w="4000" w:type="pct"/>
            <w:hideMark/>
          </w:tcPr>
          <w:p w:rsidR="0081053F" w:rsidRDefault="00484080">
            <w:pPr>
              <w:rPr>
                <w:rFonts w:eastAsia="Times New Roman"/>
              </w:rPr>
            </w:pPr>
            <w:r>
              <w:rPr>
                <w:rFonts w:eastAsia="Times New Roman"/>
                <w:b/>
                <w:bCs/>
                <w:i/>
                <w:iCs/>
              </w:rPr>
              <w:t>Internal Audit progress and Summary Report</w:t>
            </w:r>
          </w:p>
        </w:tc>
      </w:tr>
      <w:tr w:rsidR="0081053F">
        <w:trPr>
          <w:tblCellSpacing w:w="15" w:type="dxa"/>
        </w:trPr>
        <w:tc>
          <w:tcPr>
            <w:tcW w:w="1000" w:type="pct"/>
            <w:hideMark/>
          </w:tcPr>
          <w:p w:rsidR="0081053F" w:rsidRDefault="00484080">
            <w:pPr>
              <w:rPr>
                <w:rFonts w:eastAsia="Times New Roman"/>
              </w:rPr>
            </w:pPr>
            <w:r>
              <w:rPr>
                <w:rFonts w:eastAsia="Times New Roman"/>
                <w:b/>
                <w:bCs/>
                <w:i/>
                <w:iCs/>
              </w:rPr>
              <w:t>Decision</w:t>
            </w:r>
          </w:p>
        </w:tc>
        <w:tc>
          <w:tcPr>
            <w:tcW w:w="4000" w:type="pct"/>
            <w:hideMark/>
          </w:tcPr>
          <w:p w:rsidR="004A7B24" w:rsidRDefault="00484080">
            <w:pPr>
              <w:rPr>
                <w:rFonts w:eastAsia="Times New Roman"/>
              </w:rPr>
            </w:pPr>
            <w:r>
              <w:rPr>
                <w:rFonts w:eastAsia="Times New Roman"/>
              </w:rPr>
              <w:t xml:space="preserve">The Committee received and noted the above report which contained information detailing progress to date on all recommendations made. </w:t>
            </w:r>
          </w:p>
          <w:p w:rsidR="004A7B24" w:rsidRDefault="004A7B24">
            <w:pPr>
              <w:rPr>
                <w:rFonts w:eastAsia="Times New Roman"/>
              </w:rPr>
            </w:pPr>
          </w:p>
          <w:p w:rsidR="004A7B24" w:rsidRDefault="00484080">
            <w:pPr>
              <w:rPr>
                <w:rFonts w:eastAsia="Times New Roman"/>
              </w:rPr>
            </w:pPr>
            <w:r>
              <w:rPr>
                <w:rFonts w:eastAsia="Times New Roman"/>
              </w:rPr>
              <w:br w:type="page"/>
            </w:r>
            <w:r>
              <w:rPr>
                <w:rFonts w:eastAsia="Times New Roman"/>
              </w:rPr>
              <w:br w:type="page"/>
              <w:t>In 2020/21 a total of 20 recommendations were made of which 18 (90%) had been implemented, 2 (10%) were partially completed with none outstanding.</w:t>
            </w:r>
            <w:r>
              <w:rPr>
                <w:rFonts w:eastAsia="Times New Roman"/>
              </w:rPr>
              <w:br w:type="page"/>
            </w:r>
            <w:r>
              <w:rPr>
                <w:rFonts w:eastAsia="Times New Roman"/>
              </w:rPr>
              <w:br w:type="page"/>
            </w:r>
          </w:p>
          <w:p w:rsidR="004A7B24" w:rsidRDefault="004A7B24">
            <w:pPr>
              <w:rPr>
                <w:rFonts w:eastAsia="Times New Roman"/>
              </w:rPr>
            </w:pPr>
          </w:p>
          <w:p w:rsidR="004A7B24" w:rsidRDefault="00484080">
            <w:pPr>
              <w:rPr>
                <w:rFonts w:eastAsia="Times New Roman"/>
              </w:rPr>
            </w:pPr>
            <w:r>
              <w:rPr>
                <w:rFonts w:eastAsia="Times New Roman"/>
              </w:rPr>
              <w:t>In 2021/22 5 recommendations had been made of which 3 (60%) had been completed, 1 (20%) was no longer applicable and 1 (20%) remained outstanding.</w:t>
            </w:r>
            <w:r>
              <w:rPr>
                <w:rFonts w:eastAsia="Times New Roman"/>
              </w:rPr>
              <w:br w:type="page"/>
            </w:r>
            <w:r>
              <w:rPr>
                <w:rFonts w:eastAsia="Times New Roman"/>
              </w:rPr>
              <w:br w:type="page"/>
            </w:r>
          </w:p>
          <w:p w:rsidR="004A7B24" w:rsidRDefault="004A7B24">
            <w:pPr>
              <w:rPr>
                <w:rFonts w:eastAsia="Times New Roman"/>
              </w:rPr>
            </w:pPr>
          </w:p>
          <w:p w:rsidR="004A7B24" w:rsidRDefault="00484080">
            <w:pPr>
              <w:rPr>
                <w:rFonts w:eastAsia="Times New Roman"/>
                <w:b/>
                <w:bCs/>
              </w:rPr>
            </w:pPr>
            <w:r>
              <w:rPr>
                <w:rStyle w:val="Strong"/>
                <w:rFonts w:eastAsia="Times New Roman"/>
              </w:rPr>
              <w:t>Resolved:</w:t>
            </w:r>
            <w:r>
              <w:rPr>
                <w:rFonts w:eastAsia="Times New Roman"/>
                <w:b/>
                <w:bCs/>
              </w:rPr>
              <w:br w:type="page"/>
            </w:r>
            <w:r>
              <w:rPr>
                <w:rFonts w:eastAsia="Times New Roman"/>
                <w:b/>
                <w:bCs/>
              </w:rPr>
              <w:br w:type="page"/>
            </w:r>
          </w:p>
          <w:p w:rsidR="004A7B24" w:rsidRDefault="004A7B24">
            <w:pPr>
              <w:rPr>
                <w:rFonts w:eastAsia="Times New Roman"/>
                <w:b/>
                <w:bCs/>
              </w:rPr>
            </w:pPr>
          </w:p>
          <w:p w:rsidR="0081053F" w:rsidRDefault="00484080">
            <w:pPr>
              <w:rPr>
                <w:rFonts w:eastAsia="Times New Roman"/>
              </w:rPr>
            </w:pPr>
            <w:r>
              <w:rPr>
                <w:rStyle w:val="Strong"/>
                <w:rFonts w:eastAsia="Times New Roman"/>
              </w:rPr>
              <w:t>That the report be received.</w:t>
            </w:r>
            <w:r>
              <w:rPr>
                <w:rFonts w:eastAsia="Times New Roman"/>
                <w:b/>
                <w:bCs/>
              </w:rPr>
              <w:br w:type="page"/>
            </w:r>
            <w:r>
              <w:rPr>
                <w:rFonts w:eastAsia="Times New Roman"/>
                <w:b/>
                <w:bCs/>
              </w:rPr>
              <w:br w:type="page"/>
            </w:r>
          </w:p>
        </w:tc>
      </w:tr>
      <w:tr w:rsidR="0081053F">
        <w:trPr>
          <w:tblCellSpacing w:w="15" w:type="dxa"/>
        </w:trPr>
        <w:tc>
          <w:tcPr>
            <w:tcW w:w="5000" w:type="pct"/>
            <w:gridSpan w:val="2"/>
            <w:vAlign w:val="center"/>
            <w:hideMark/>
          </w:tcPr>
          <w:p w:rsidR="0081053F" w:rsidRDefault="00484080">
            <w:pPr>
              <w:rPr>
                <w:rFonts w:eastAsia="Times New Roman"/>
              </w:rPr>
            </w:pPr>
            <w:r>
              <w:rPr>
                <w:rFonts w:eastAsia="Times New Roman"/>
              </w:rPr>
              <w:t> </w:t>
            </w:r>
          </w:p>
        </w:tc>
      </w:tr>
      <w:tr w:rsidR="0081053F">
        <w:trPr>
          <w:tblCellSpacing w:w="15" w:type="dxa"/>
        </w:trPr>
        <w:tc>
          <w:tcPr>
            <w:tcW w:w="1000" w:type="pct"/>
            <w:hideMark/>
          </w:tcPr>
          <w:p w:rsidR="0081053F" w:rsidRDefault="00484080">
            <w:pPr>
              <w:rPr>
                <w:rFonts w:eastAsia="Times New Roman"/>
              </w:rPr>
            </w:pPr>
            <w:r>
              <w:rPr>
                <w:rFonts w:eastAsia="Times New Roman"/>
                <w:b/>
                <w:bCs/>
              </w:rPr>
              <w:t>26.22</w:t>
            </w:r>
          </w:p>
        </w:tc>
        <w:tc>
          <w:tcPr>
            <w:tcW w:w="4000" w:type="pct"/>
            <w:hideMark/>
          </w:tcPr>
          <w:p w:rsidR="0081053F" w:rsidRDefault="00484080">
            <w:pPr>
              <w:rPr>
                <w:rFonts w:eastAsia="Times New Roman"/>
              </w:rPr>
            </w:pPr>
            <w:r>
              <w:rPr>
                <w:rFonts w:eastAsia="Times New Roman"/>
                <w:b/>
                <w:bCs/>
                <w:i/>
                <w:iCs/>
              </w:rPr>
              <w:t>Governor Vacancy</w:t>
            </w:r>
          </w:p>
        </w:tc>
      </w:tr>
      <w:tr w:rsidR="0081053F">
        <w:trPr>
          <w:tblCellSpacing w:w="15" w:type="dxa"/>
        </w:trPr>
        <w:tc>
          <w:tcPr>
            <w:tcW w:w="1000" w:type="pct"/>
            <w:hideMark/>
          </w:tcPr>
          <w:p w:rsidR="0081053F" w:rsidRDefault="00484080">
            <w:pPr>
              <w:rPr>
                <w:rFonts w:eastAsia="Times New Roman"/>
              </w:rPr>
            </w:pPr>
            <w:r>
              <w:rPr>
                <w:rFonts w:eastAsia="Times New Roman"/>
                <w:b/>
                <w:bCs/>
                <w:i/>
                <w:iCs/>
              </w:rPr>
              <w:lastRenderedPageBreak/>
              <w:t>Decision</w:t>
            </w:r>
          </w:p>
        </w:tc>
        <w:tc>
          <w:tcPr>
            <w:tcW w:w="4000" w:type="pct"/>
            <w:hideMark/>
          </w:tcPr>
          <w:p w:rsidR="004A7B24" w:rsidRDefault="00484080">
            <w:pPr>
              <w:rPr>
                <w:rFonts w:eastAsia="Times New Roman"/>
              </w:rPr>
            </w:pPr>
            <w:r>
              <w:rPr>
                <w:rFonts w:eastAsia="Times New Roman"/>
              </w:rPr>
              <w:t>The Clerk reported that following interviews the Board, by way of a Written Resolution, had been invited to confirm the appointment of one Governor and one Co-opted Governor.</w:t>
            </w:r>
            <w:r>
              <w:rPr>
                <w:rFonts w:eastAsia="Times New Roman"/>
              </w:rPr>
              <w:br w:type="page"/>
            </w:r>
            <w:r>
              <w:rPr>
                <w:rFonts w:eastAsia="Times New Roman"/>
              </w:rPr>
              <w:br w:type="page"/>
            </w:r>
          </w:p>
          <w:p w:rsidR="004A7B24" w:rsidRDefault="004A7B24">
            <w:pPr>
              <w:rPr>
                <w:rFonts w:eastAsia="Times New Roman"/>
              </w:rPr>
            </w:pPr>
          </w:p>
          <w:p w:rsidR="004A7B24" w:rsidRDefault="00484080">
            <w:pPr>
              <w:rPr>
                <w:rFonts w:eastAsia="Times New Roman"/>
              </w:rPr>
            </w:pPr>
            <w:r>
              <w:rPr>
                <w:rFonts w:eastAsia="Times New Roman"/>
              </w:rPr>
              <w:t>He informed that Committee that he had now received responses from a majority of Governors confirming the appointments and would be inviting the applicants to join the Board.</w:t>
            </w:r>
          </w:p>
          <w:p w:rsidR="004A7B24" w:rsidRDefault="004A7B24">
            <w:pPr>
              <w:rPr>
                <w:rFonts w:eastAsia="Times New Roman"/>
              </w:rPr>
            </w:pPr>
          </w:p>
          <w:p w:rsidR="004A7B24" w:rsidRDefault="00484080">
            <w:pPr>
              <w:rPr>
                <w:rFonts w:eastAsia="Times New Roman"/>
              </w:rPr>
            </w:pPr>
            <w:r>
              <w:rPr>
                <w:rFonts w:eastAsia="Times New Roman"/>
              </w:rPr>
              <w:br w:type="page"/>
            </w:r>
            <w:r>
              <w:rPr>
                <w:rFonts w:eastAsia="Times New Roman"/>
              </w:rPr>
              <w:br w:type="page"/>
              <w:t>Governors welcomed the appointments and the additional experience they would bring to the Board.</w:t>
            </w:r>
            <w:r>
              <w:rPr>
                <w:rFonts w:eastAsia="Times New Roman"/>
              </w:rPr>
              <w:br w:type="page"/>
            </w:r>
            <w:r>
              <w:rPr>
                <w:rFonts w:eastAsia="Times New Roman"/>
              </w:rPr>
              <w:br w:type="page"/>
            </w:r>
          </w:p>
          <w:p w:rsidR="004A7B24" w:rsidRDefault="004A7B24">
            <w:pPr>
              <w:rPr>
                <w:rFonts w:eastAsia="Times New Roman"/>
              </w:rPr>
            </w:pPr>
          </w:p>
          <w:p w:rsidR="004A7B24" w:rsidRDefault="00484080">
            <w:pPr>
              <w:rPr>
                <w:rFonts w:eastAsia="Times New Roman"/>
                <w:b/>
                <w:bCs/>
              </w:rPr>
            </w:pPr>
            <w:r>
              <w:rPr>
                <w:rStyle w:val="Strong"/>
                <w:rFonts w:eastAsia="Times New Roman"/>
              </w:rPr>
              <w:t>Resolved:</w:t>
            </w:r>
            <w:r>
              <w:rPr>
                <w:rFonts w:eastAsia="Times New Roman"/>
                <w:b/>
                <w:bCs/>
              </w:rPr>
              <w:br w:type="page"/>
            </w:r>
            <w:r>
              <w:rPr>
                <w:rFonts w:eastAsia="Times New Roman"/>
                <w:b/>
                <w:bCs/>
              </w:rPr>
              <w:br w:type="page"/>
            </w:r>
          </w:p>
          <w:p w:rsidR="004A7B24" w:rsidRDefault="004A7B24">
            <w:pPr>
              <w:rPr>
                <w:rFonts w:eastAsia="Times New Roman"/>
                <w:b/>
                <w:bCs/>
              </w:rPr>
            </w:pPr>
          </w:p>
          <w:p w:rsidR="0081053F" w:rsidRDefault="00484080">
            <w:pPr>
              <w:rPr>
                <w:rFonts w:eastAsia="Times New Roman"/>
              </w:rPr>
            </w:pPr>
            <w:r>
              <w:rPr>
                <w:rStyle w:val="Strong"/>
                <w:rFonts w:eastAsia="Times New Roman"/>
              </w:rPr>
              <w:t>That the report be received.</w:t>
            </w:r>
            <w:r>
              <w:rPr>
                <w:rFonts w:eastAsia="Times New Roman"/>
                <w:b/>
                <w:bCs/>
              </w:rPr>
              <w:br w:type="page"/>
            </w:r>
            <w:r>
              <w:rPr>
                <w:rFonts w:eastAsia="Times New Roman"/>
                <w:b/>
                <w:bCs/>
              </w:rPr>
              <w:br w:type="page"/>
            </w:r>
          </w:p>
        </w:tc>
      </w:tr>
      <w:tr w:rsidR="0081053F">
        <w:trPr>
          <w:tblCellSpacing w:w="15" w:type="dxa"/>
        </w:trPr>
        <w:tc>
          <w:tcPr>
            <w:tcW w:w="5000" w:type="pct"/>
            <w:gridSpan w:val="2"/>
            <w:vAlign w:val="center"/>
            <w:hideMark/>
          </w:tcPr>
          <w:p w:rsidR="0081053F" w:rsidRDefault="00484080">
            <w:pPr>
              <w:rPr>
                <w:rFonts w:eastAsia="Times New Roman"/>
              </w:rPr>
            </w:pPr>
            <w:r>
              <w:rPr>
                <w:rFonts w:eastAsia="Times New Roman"/>
              </w:rPr>
              <w:t> </w:t>
            </w:r>
          </w:p>
        </w:tc>
      </w:tr>
      <w:tr w:rsidR="0081053F">
        <w:trPr>
          <w:tblCellSpacing w:w="15" w:type="dxa"/>
        </w:trPr>
        <w:tc>
          <w:tcPr>
            <w:tcW w:w="1000" w:type="pct"/>
            <w:hideMark/>
          </w:tcPr>
          <w:p w:rsidR="0081053F" w:rsidRDefault="00484080">
            <w:pPr>
              <w:rPr>
                <w:rFonts w:eastAsia="Times New Roman"/>
              </w:rPr>
            </w:pPr>
            <w:r>
              <w:rPr>
                <w:rFonts w:eastAsia="Times New Roman"/>
                <w:b/>
                <w:bCs/>
              </w:rPr>
              <w:t>27.22</w:t>
            </w:r>
          </w:p>
        </w:tc>
        <w:tc>
          <w:tcPr>
            <w:tcW w:w="4000" w:type="pct"/>
            <w:hideMark/>
          </w:tcPr>
          <w:p w:rsidR="0081053F" w:rsidRDefault="00484080">
            <w:pPr>
              <w:rPr>
                <w:rFonts w:eastAsia="Times New Roman"/>
              </w:rPr>
            </w:pPr>
            <w:r>
              <w:rPr>
                <w:rFonts w:eastAsia="Times New Roman"/>
                <w:b/>
                <w:bCs/>
                <w:i/>
                <w:iCs/>
              </w:rPr>
              <w:t>Strategic Risk Register</w:t>
            </w:r>
          </w:p>
        </w:tc>
      </w:tr>
      <w:tr w:rsidR="0081053F">
        <w:trPr>
          <w:tblCellSpacing w:w="15" w:type="dxa"/>
        </w:trPr>
        <w:tc>
          <w:tcPr>
            <w:tcW w:w="1000" w:type="pct"/>
            <w:hideMark/>
          </w:tcPr>
          <w:p w:rsidR="0081053F" w:rsidRDefault="00484080">
            <w:pPr>
              <w:rPr>
                <w:rFonts w:eastAsia="Times New Roman"/>
              </w:rPr>
            </w:pPr>
            <w:r>
              <w:rPr>
                <w:rFonts w:eastAsia="Times New Roman"/>
                <w:b/>
                <w:bCs/>
                <w:i/>
                <w:iCs/>
              </w:rPr>
              <w:t>Decision</w:t>
            </w:r>
          </w:p>
        </w:tc>
        <w:tc>
          <w:tcPr>
            <w:tcW w:w="4000" w:type="pct"/>
            <w:hideMark/>
          </w:tcPr>
          <w:p w:rsidR="004A7B24" w:rsidRDefault="00484080">
            <w:pPr>
              <w:rPr>
                <w:rFonts w:eastAsia="Times New Roman"/>
              </w:rPr>
            </w:pPr>
            <w:r>
              <w:rPr>
                <w:rFonts w:eastAsia="Times New Roman"/>
              </w:rPr>
              <w:t>Audit and Governance Committee considered the Strategic &amp; Governance Risk Report for 2021/2022 as presented by the Deputy Principal, Finance and Corporate Services.</w:t>
            </w:r>
            <w:r>
              <w:rPr>
                <w:rFonts w:eastAsia="Times New Roman"/>
              </w:rPr>
              <w:br w:type="page"/>
            </w:r>
            <w:r>
              <w:rPr>
                <w:rFonts w:eastAsia="Times New Roman"/>
              </w:rPr>
              <w:br w:type="page"/>
            </w:r>
          </w:p>
          <w:p w:rsidR="004A7B24" w:rsidRDefault="004A7B24">
            <w:pPr>
              <w:rPr>
                <w:rFonts w:eastAsia="Times New Roman"/>
              </w:rPr>
            </w:pPr>
          </w:p>
          <w:p w:rsidR="004A7B24" w:rsidRDefault="00484080">
            <w:pPr>
              <w:rPr>
                <w:rFonts w:eastAsia="Times New Roman"/>
              </w:rPr>
            </w:pPr>
            <w:r>
              <w:rPr>
                <w:rFonts w:eastAsia="Times New Roman"/>
              </w:rPr>
              <w:t>The Deputy Principal reported that she had re-ordered the top five risks with financial stability now being the top risk, IT failure remaining second. Two new risks had been added to the top five, namely failure to deliver dynamic and relevant curriculum and failure to deliver quality improvements together with a successful Ofsted. Failure to recruit key personnel remained at number five.</w:t>
            </w:r>
          </w:p>
          <w:p w:rsidR="004A7B24" w:rsidRDefault="004A7B24">
            <w:pPr>
              <w:rPr>
                <w:rFonts w:eastAsia="Times New Roman"/>
              </w:rPr>
            </w:pPr>
          </w:p>
          <w:p w:rsidR="004A7B24" w:rsidRDefault="00484080">
            <w:pPr>
              <w:rPr>
                <w:rFonts w:eastAsia="Times New Roman"/>
              </w:rPr>
            </w:pPr>
            <w:r>
              <w:rPr>
                <w:rFonts w:eastAsia="Times New Roman"/>
              </w:rPr>
              <w:br w:type="page"/>
            </w:r>
            <w:r>
              <w:rPr>
                <w:rFonts w:eastAsia="Times New Roman"/>
              </w:rPr>
              <w:br w:type="page"/>
            </w:r>
            <w:proofErr w:type="spellStart"/>
            <w:r>
              <w:rPr>
                <w:rFonts w:eastAsia="Times New Roman"/>
              </w:rPr>
              <w:t>Covid</w:t>
            </w:r>
            <w:proofErr w:type="spellEnd"/>
            <w:r>
              <w:rPr>
                <w:rFonts w:eastAsia="Times New Roman"/>
              </w:rPr>
              <w:t xml:space="preserve"> and Residential Ofsted, following the recent inspection, had dropped out of the top five risks.</w:t>
            </w:r>
          </w:p>
          <w:p w:rsidR="004A7B24" w:rsidRDefault="004A7B24">
            <w:pPr>
              <w:rPr>
                <w:rFonts w:eastAsia="Times New Roman"/>
              </w:rPr>
            </w:pPr>
          </w:p>
          <w:p w:rsidR="004A7B24" w:rsidRDefault="00484080">
            <w:pPr>
              <w:rPr>
                <w:rFonts w:eastAsia="Times New Roman"/>
              </w:rPr>
            </w:pPr>
            <w:r>
              <w:rPr>
                <w:rFonts w:eastAsia="Times New Roman"/>
              </w:rPr>
              <w:br w:type="page"/>
            </w:r>
            <w:r>
              <w:rPr>
                <w:rFonts w:eastAsia="Times New Roman"/>
              </w:rPr>
              <w:br w:type="page"/>
            </w:r>
            <w:r>
              <w:rPr>
                <w:rStyle w:val="Strong"/>
                <w:rFonts w:eastAsia="Times New Roman"/>
              </w:rPr>
              <w:t>Resolved:</w:t>
            </w:r>
            <w:r>
              <w:rPr>
                <w:rFonts w:eastAsia="Times New Roman"/>
              </w:rPr>
              <w:br w:type="page"/>
            </w:r>
            <w:r>
              <w:rPr>
                <w:rFonts w:eastAsia="Times New Roman"/>
              </w:rPr>
              <w:br w:type="page"/>
            </w:r>
          </w:p>
          <w:p w:rsidR="004A7B24" w:rsidRDefault="004A7B24">
            <w:pPr>
              <w:rPr>
                <w:rFonts w:eastAsia="Times New Roman"/>
              </w:rPr>
            </w:pPr>
          </w:p>
          <w:p w:rsidR="0081053F" w:rsidRDefault="00484080">
            <w:pPr>
              <w:rPr>
                <w:rFonts w:eastAsia="Times New Roman"/>
              </w:rPr>
            </w:pPr>
            <w:r>
              <w:rPr>
                <w:rStyle w:val="Strong"/>
                <w:rFonts w:eastAsia="Times New Roman"/>
              </w:rPr>
              <w:t>That the Strategic Risk Register Report be received.</w:t>
            </w:r>
            <w:r>
              <w:rPr>
                <w:rFonts w:eastAsia="Times New Roman"/>
                <w:b/>
                <w:bCs/>
              </w:rPr>
              <w:br w:type="page"/>
            </w:r>
            <w:r>
              <w:rPr>
                <w:rFonts w:eastAsia="Times New Roman"/>
                <w:b/>
                <w:bCs/>
              </w:rPr>
              <w:br w:type="page"/>
            </w:r>
          </w:p>
        </w:tc>
      </w:tr>
      <w:tr w:rsidR="0081053F">
        <w:trPr>
          <w:tblCellSpacing w:w="15" w:type="dxa"/>
        </w:trPr>
        <w:tc>
          <w:tcPr>
            <w:tcW w:w="5000" w:type="pct"/>
            <w:gridSpan w:val="2"/>
            <w:vAlign w:val="center"/>
            <w:hideMark/>
          </w:tcPr>
          <w:p w:rsidR="0081053F" w:rsidRDefault="00484080">
            <w:pPr>
              <w:rPr>
                <w:rFonts w:eastAsia="Times New Roman"/>
              </w:rPr>
            </w:pPr>
            <w:r>
              <w:rPr>
                <w:rFonts w:eastAsia="Times New Roman"/>
              </w:rPr>
              <w:t> </w:t>
            </w:r>
          </w:p>
        </w:tc>
      </w:tr>
      <w:tr w:rsidR="0081053F">
        <w:trPr>
          <w:tblCellSpacing w:w="15" w:type="dxa"/>
        </w:trPr>
        <w:tc>
          <w:tcPr>
            <w:tcW w:w="1000" w:type="pct"/>
            <w:hideMark/>
          </w:tcPr>
          <w:p w:rsidR="0081053F" w:rsidRDefault="00484080">
            <w:pPr>
              <w:rPr>
                <w:rFonts w:eastAsia="Times New Roman"/>
              </w:rPr>
            </w:pPr>
            <w:r>
              <w:rPr>
                <w:rFonts w:eastAsia="Times New Roman"/>
                <w:b/>
                <w:bCs/>
              </w:rPr>
              <w:t>28.22</w:t>
            </w:r>
          </w:p>
        </w:tc>
        <w:tc>
          <w:tcPr>
            <w:tcW w:w="4000" w:type="pct"/>
            <w:hideMark/>
          </w:tcPr>
          <w:p w:rsidR="0081053F" w:rsidRDefault="00484080">
            <w:pPr>
              <w:rPr>
                <w:rFonts w:eastAsia="Times New Roman"/>
              </w:rPr>
            </w:pPr>
            <w:r>
              <w:rPr>
                <w:rFonts w:eastAsia="Times New Roman"/>
                <w:b/>
                <w:bCs/>
                <w:i/>
                <w:iCs/>
              </w:rPr>
              <w:t>Data Returns Report 2020/2021</w:t>
            </w:r>
          </w:p>
        </w:tc>
      </w:tr>
      <w:tr w:rsidR="0081053F">
        <w:trPr>
          <w:tblCellSpacing w:w="15" w:type="dxa"/>
        </w:trPr>
        <w:tc>
          <w:tcPr>
            <w:tcW w:w="1000" w:type="pct"/>
            <w:hideMark/>
          </w:tcPr>
          <w:p w:rsidR="0081053F" w:rsidRDefault="00484080">
            <w:pPr>
              <w:rPr>
                <w:rFonts w:eastAsia="Times New Roman"/>
              </w:rPr>
            </w:pPr>
            <w:r>
              <w:rPr>
                <w:rFonts w:eastAsia="Times New Roman"/>
                <w:b/>
                <w:bCs/>
                <w:i/>
                <w:iCs/>
              </w:rPr>
              <w:t>Decision</w:t>
            </w:r>
          </w:p>
        </w:tc>
        <w:tc>
          <w:tcPr>
            <w:tcW w:w="4000" w:type="pct"/>
            <w:hideMark/>
          </w:tcPr>
          <w:p w:rsidR="004A7B24" w:rsidRDefault="00484080">
            <w:pPr>
              <w:rPr>
                <w:rFonts w:eastAsia="Times New Roman"/>
              </w:rPr>
            </w:pPr>
            <w:r>
              <w:rPr>
                <w:rFonts w:eastAsia="Times New Roman"/>
              </w:rPr>
              <w:t>In compliance with the requirements of the ESFA, Audit &amp; Governance Committee considered the Data Returns report.</w:t>
            </w:r>
            <w:r>
              <w:rPr>
                <w:rFonts w:eastAsia="Times New Roman"/>
              </w:rPr>
              <w:br w:type="page"/>
            </w:r>
            <w:r>
              <w:rPr>
                <w:rFonts w:eastAsia="Times New Roman"/>
              </w:rPr>
              <w:br w:type="page"/>
            </w:r>
          </w:p>
          <w:p w:rsidR="004A7B24" w:rsidRDefault="004A7B24">
            <w:pPr>
              <w:rPr>
                <w:rFonts w:eastAsia="Times New Roman"/>
              </w:rPr>
            </w:pPr>
          </w:p>
          <w:p w:rsidR="004A7B24" w:rsidRDefault="00484080">
            <w:pPr>
              <w:rPr>
                <w:rFonts w:eastAsia="Times New Roman"/>
              </w:rPr>
            </w:pPr>
            <w:r>
              <w:rPr>
                <w:rFonts w:eastAsia="Times New Roman"/>
              </w:rPr>
              <w:t>All submissions had been completed within the required time frames to the funding body. The return required for 6 April 2022, which was listed on the report, had also been submitted on time.</w:t>
            </w:r>
          </w:p>
          <w:p w:rsidR="004A7B24" w:rsidRDefault="004A7B24">
            <w:pPr>
              <w:rPr>
                <w:rFonts w:eastAsia="Times New Roman"/>
              </w:rPr>
            </w:pPr>
          </w:p>
          <w:p w:rsidR="004A7B24" w:rsidRDefault="00484080">
            <w:pPr>
              <w:rPr>
                <w:rFonts w:eastAsia="Times New Roman"/>
              </w:rPr>
            </w:pPr>
            <w:r>
              <w:rPr>
                <w:rFonts w:eastAsia="Times New Roman"/>
              </w:rPr>
              <w:br w:type="page"/>
            </w:r>
            <w:r>
              <w:rPr>
                <w:rFonts w:eastAsia="Times New Roman"/>
              </w:rPr>
              <w:br w:type="page"/>
            </w:r>
            <w:r>
              <w:rPr>
                <w:rStyle w:val="Strong"/>
                <w:rFonts w:eastAsia="Times New Roman"/>
              </w:rPr>
              <w:t>Resolved:</w:t>
            </w:r>
            <w:r>
              <w:rPr>
                <w:rFonts w:eastAsia="Times New Roman"/>
              </w:rPr>
              <w:br w:type="page"/>
            </w:r>
            <w:r>
              <w:rPr>
                <w:rFonts w:eastAsia="Times New Roman"/>
              </w:rPr>
              <w:br w:type="page"/>
            </w:r>
          </w:p>
          <w:p w:rsidR="004A7B24" w:rsidRDefault="004A7B24">
            <w:pPr>
              <w:rPr>
                <w:rFonts w:eastAsia="Times New Roman"/>
              </w:rPr>
            </w:pPr>
          </w:p>
          <w:p w:rsidR="0081053F" w:rsidRDefault="00484080">
            <w:pPr>
              <w:rPr>
                <w:rFonts w:eastAsia="Times New Roman"/>
              </w:rPr>
            </w:pPr>
            <w:r>
              <w:rPr>
                <w:rStyle w:val="Strong"/>
                <w:rFonts w:eastAsia="Times New Roman"/>
              </w:rPr>
              <w:t>That the Data Returns Report be received.</w:t>
            </w:r>
            <w:r>
              <w:rPr>
                <w:rFonts w:eastAsia="Times New Roman"/>
                <w:b/>
                <w:bCs/>
              </w:rPr>
              <w:br w:type="page"/>
            </w:r>
            <w:r>
              <w:rPr>
                <w:rFonts w:eastAsia="Times New Roman"/>
                <w:b/>
                <w:bCs/>
              </w:rPr>
              <w:br w:type="page"/>
            </w:r>
          </w:p>
        </w:tc>
      </w:tr>
      <w:tr w:rsidR="0081053F">
        <w:trPr>
          <w:tblCellSpacing w:w="15" w:type="dxa"/>
        </w:trPr>
        <w:tc>
          <w:tcPr>
            <w:tcW w:w="5000" w:type="pct"/>
            <w:gridSpan w:val="2"/>
            <w:vAlign w:val="center"/>
            <w:hideMark/>
          </w:tcPr>
          <w:p w:rsidR="0081053F" w:rsidRDefault="00484080">
            <w:pPr>
              <w:rPr>
                <w:rFonts w:eastAsia="Times New Roman"/>
              </w:rPr>
            </w:pPr>
            <w:r>
              <w:rPr>
                <w:rFonts w:eastAsia="Times New Roman"/>
              </w:rPr>
              <w:t> </w:t>
            </w:r>
          </w:p>
          <w:p w:rsidR="004A7B24" w:rsidRDefault="004A7B24">
            <w:pPr>
              <w:rPr>
                <w:rFonts w:eastAsia="Times New Roman"/>
              </w:rPr>
            </w:pPr>
          </w:p>
          <w:p w:rsidR="004A7B24" w:rsidRDefault="004A7B24">
            <w:pPr>
              <w:rPr>
                <w:rFonts w:eastAsia="Times New Roman"/>
              </w:rPr>
            </w:pPr>
          </w:p>
        </w:tc>
      </w:tr>
      <w:tr w:rsidR="0081053F">
        <w:trPr>
          <w:tblCellSpacing w:w="15" w:type="dxa"/>
        </w:trPr>
        <w:tc>
          <w:tcPr>
            <w:tcW w:w="1000" w:type="pct"/>
            <w:hideMark/>
          </w:tcPr>
          <w:p w:rsidR="0081053F" w:rsidRDefault="00484080">
            <w:pPr>
              <w:rPr>
                <w:rFonts w:eastAsia="Times New Roman"/>
              </w:rPr>
            </w:pPr>
            <w:r>
              <w:rPr>
                <w:rFonts w:eastAsia="Times New Roman"/>
                <w:b/>
                <w:bCs/>
              </w:rPr>
              <w:lastRenderedPageBreak/>
              <w:t>29.22</w:t>
            </w:r>
          </w:p>
        </w:tc>
        <w:tc>
          <w:tcPr>
            <w:tcW w:w="4000" w:type="pct"/>
            <w:hideMark/>
          </w:tcPr>
          <w:p w:rsidR="0081053F" w:rsidRDefault="00484080">
            <w:pPr>
              <w:rPr>
                <w:rFonts w:eastAsia="Times New Roman"/>
              </w:rPr>
            </w:pPr>
            <w:r>
              <w:rPr>
                <w:rFonts w:eastAsia="Times New Roman"/>
                <w:b/>
                <w:bCs/>
                <w:i/>
                <w:iCs/>
              </w:rPr>
              <w:t>Governance Quality Improvement Plan 2021/2022</w:t>
            </w:r>
          </w:p>
        </w:tc>
      </w:tr>
      <w:tr w:rsidR="0081053F">
        <w:trPr>
          <w:tblCellSpacing w:w="15" w:type="dxa"/>
        </w:trPr>
        <w:tc>
          <w:tcPr>
            <w:tcW w:w="1000" w:type="pct"/>
            <w:hideMark/>
          </w:tcPr>
          <w:p w:rsidR="0081053F" w:rsidRDefault="00484080">
            <w:pPr>
              <w:rPr>
                <w:rFonts w:eastAsia="Times New Roman"/>
              </w:rPr>
            </w:pPr>
            <w:r>
              <w:rPr>
                <w:rFonts w:eastAsia="Times New Roman"/>
                <w:b/>
                <w:bCs/>
                <w:i/>
                <w:iCs/>
              </w:rPr>
              <w:t>Decision</w:t>
            </w:r>
          </w:p>
        </w:tc>
        <w:tc>
          <w:tcPr>
            <w:tcW w:w="4000" w:type="pct"/>
            <w:hideMark/>
          </w:tcPr>
          <w:p w:rsidR="004A7B24" w:rsidRDefault="00484080">
            <w:pPr>
              <w:rPr>
                <w:rFonts w:eastAsia="Times New Roman"/>
              </w:rPr>
            </w:pPr>
            <w:r>
              <w:rPr>
                <w:rFonts w:eastAsia="Times New Roman"/>
              </w:rPr>
              <w:t>The Committee considered progress on the Governance Improvement Plan for 2021/2022.</w:t>
            </w:r>
            <w:r>
              <w:rPr>
                <w:rFonts w:eastAsia="Times New Roman"/>
              </w:rPr>
              <w:br w:type="page"/>
            </w:r>
            <w:r>
              <w:rPr>
                <w:rFonts w:eastAsia="Times New Roman"/>
              </w:rPr>
              <w:br w:type="page"/>
            </w:r>
          </w:p>
          <w:p w:rsidR="004A7B24" w:rsidRDefault="004A7B24">
            <w:pPr>
              <w:rPr>
                <w:rFonts w:eastAsia="Times New Roman"/>
              </w:rPr>
            </w:pPr>
          </w:p>
          <w:p w:rsidR="004A7B24" w:rsidRDefault="00484080">
            <w:pPr>
              <w:rPr>
                <w:rFonts w:eastAsia="Times New Roman"/>
              </w:rPr>
            </w:pPr>
            <w:r>
              <w:rPr>
                <w:rFonts w:eastAsia="Times New Roman"/>
              </w:rPr>
              <w:t>It was noted that for the majority of topics progress was scheduled for later in the current academic year.</w:t>
            </w:r>
            <w:r>
              <w:rPr>
                <w:rFonts w:eastAsia="Times New Roman"/>
              </w:rPr>
              <w:br w:type="page"/>
            </w:r>
            <w:r>
              <w:rPr>
                <w:rFonts w:eastAsia="Times New Roman"/>
              </w:rPr>
              <w:br w:type="page"/>
            </w:r>
          </w:p>
          <w:p w:rsidR="004A7B24" w:rsidRDefault="004A7B24">
            <w:pPr>
              <w:rPr>
                <w:rFonts w:eastAsia="Times New Roman"/>
              </w:rPr>
            </w:pPr>
          </w:p>
          <w:p w:rsidR="004A7B24" w:rsidRDefault="00484080">
            <w:pPr>
              <w:rPr>
                <w:rFonts w:eastAsia="Times New Roman"/>
              </w:rPr>
            </w:pPr>
            <w:r>
              <w:rPr>
                <w:rFonts w:eastAsia="Times New Roman"/>
              </w:rPr>
              <w:t>The proposals for Governor Training had stalled due to the Education Training Foundation outsourcing that element of their training programme.</w:t>
            </w:r>
            <w:r>
              <w:rPr>
                <w:rFonts w:eastAsia="Times New Roman"/>
              </w:rPr>
              <w:br w:type="page"/>
            </w:r>
            <w:r>
              <w:rPr>
                <w:rFonts w:eastAsia="Times New Roman"/>
              </w:rPr>
              <w:br w:type="page"/>
            </w:r>
          </w:p>
          <w:p w:rsidR="004A7B24" w:rsidRDefault="004A7B24">
            <w:pPr>
              <w:rPr>
                <w:rFonts w:eastAsia="Times New Roman"/>
              </w:rPr>
            </w:pPr>
          </w:p>
          <w:p w:rsidR="004A7B24" w:rsidRDefault="00484080">
            <w:pPr>
              <w:rPr>
                <w:rFonts w:eastAsia="Times New Roman"/>
                <w:b/>
                <w:bCs/>
              </w:rPr>
            </w:pPr>
            <w:r>
              <w:rPr>
                <w:rStyle w:val="Strong"/>
                <w:rFonts w:eastAsia="Times New Roman"/>
              </w:rPr>
              <w:t>Resolved:</w:t>
            </w:r>
            <w:r>
              <w:rPr>
                <w:rFonts w:eastAsia="Times New Roman"/>
                <w:b/>
                <w:bCs/>
              </w:rPr>
              <w:br w:type="page"/>
            </w:r>
            <w:r>
              <w:rPr>
                <w:rFonts w:eastAsia="Times New Roman"/>
                <w:b/>
                <w:bCs/>
              </w:rPr>
              <w:br w:type="page"/>
            </w:r>
          </w:p>
          <w:p w:rsidR="004A7B24" w:rsidRDefault="004A7B24">
            <w:pPr>
              <w:rPr>
                <w:rFonts w:eastAsia="Times New Roman"/>
                <w:b/>
                <w:bCs/>
              </w:rPr>
            </w:pPr>
          </w:p>
          <w:p w:rsidR="0081053F" w:rsidRDefault="00484080">
            <w:pPr>
              <w:rPr>
                <w:rFonts w:eastAsia="Times New Roman"/>
              </w:rPr>
            </w:pPr>
            <w:r>
              <w:rPr>
                <w:rStyle w:val="Strong"/>
                <w:rFonts w:eastAsia="Times New Roman"/>
              </w:rPr>
              <w:t>That the report be received.</w:t>
            </w:r>
            <w:r>
              <w:rPr>
                <w:rFonts w:eastAsia="Times New Roman"/>
                <w:b/>
                <w:bCs/>
              </w:rPr>
              <w:br w:type="page"/>
            </w:r>
            <w:r>
              <w:rPr>
                <w:rFonts w:eastAsia="Times New Roman"/>
                <w:b/>
                <w:bCs/>
              </w:rPr>
              <w:br w:type="page"/>
            </w:r>
          </w:p>
        </w:tc>
      </w:tr>
      <w:tr w:rsidR="0081053F">
        <w:trPr>
          <w:tblCellSpacing w:w="15" w:type="dxa"/>
        </w:trPr>
        <w:tc>
          <w:tcPr>
            <w:tcW w:w="5000" w:type="pct"/>
            <w:gridSpan w:val="2"/>
            <w:vAlign w:val="center"/>
            <w:hideMark/>
          </w:tcPr>
          <w:p w:rsidR="0081053F" w:rsidRDefault="00484080">
            <w:pPr>
              <w:rPr>
                <w:rFonts w:eastAsia="Times New Roman"/>
              </w:rPr>
            </w:pPr>
            <w:r>
              <w:rPr>
                <w:rFonts w:eastAsia="Times New Roman"/>
              </w:rPr>
              <w:t> </w:t>
            </w:r>
          </w:p>
        </w:tc>
      </w:tr>
    </w:tbl>
    <w:p w:rsidR="0081053F" w:rsidRDefault="0081053F">
      <w:pPr>
        <w:pStyle w:val="NormalWeb"/>
        <w:pageBreakBefore/>
        <w:spacing w:before="0" w:beforeAutospacing="0" w:after="0" w:afterAutospacing="0"/>
        <w:rPr>
          <w:vanish/>
        </w:rPr>
      </w:pPr>
    </w:p>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81053F" w:rsidTr="00F67C33">
        <w:trPr>
          <w:tblCellSpacing w:w="15" w:type="dxa"/>
        </w:trPr>
        <w:tc>
          <w:tcPr>
            <w:tcW w:w="4967" w:type="pct"/>
            <w:vAlign w:val="center"/>
            <w:hideMark/>
          </w:tcPr>
          <w:p w:rsidR="0081053F" w:rsidRDefault="00484080">
            <w:pPr>
              <w:rPr>
                <w:rFonts w:eastAsia="Times New Roman"/>
              </w:rPr>
            </w:pPr>
            <w:r>
              <w:rPr>
                <w:rFonts w:eastAsia="Times New Roman"/>
              </w:rPr>
              <w:t> </w:t>
            </w:r>
          </w:p>
        </w:tc>
      </w:tr>
      <w:tr w:rsidR="0081053F" w:rsidTr="00F67C33">
        <w:trPr>
          <w:tblCellSpacing w:w="15" w:type="dxa"/>
        </w:trPr>
        <w:tc>
          <w:tcPr>
            <w:tcW w:w="4967" w:type="pct"/>
            <w:vAlign w:val="center"/>
            <w:hideMark/>
          </w:tcPr>
          <w:p w:rsidR="0081053F" w:rsidRDefault="00484080">
            <w:pPr>
              <w:rPr>
                <w:rFonts w:eastAsia="Times New Roman"/>
              </w:rPr>
            </w:pPr>
            <w:r>
              <w:rPr>
                <w:rFonts w:eastAsia="Times New Roman"/>
              </w:rPr>
              <w:t> </w:t>
            </w:r>
          </w:p>
        </w:tc>
      </w:tr>
    </w:tbl>
    <w:p w:rsidR="0081053F" w:rsidRDefault="0081053F">
      <w:pPr>
        <w:pStyle w:val="NormalWeb"/>
        <w:pageBreakBefore/>
        <w:spacing w:before="0" w:beforeAutospacing="0" w:after="0" w:afterAutospacing="0"/>
        <w:rPr>
          <w:vanish/>
        </w:rPr>
      </w:pPr>
    </w:p>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81053F">
        <w:trPr>
          <w:tblCellSpacing w:w="15" w:type="dxa"/>
        </w:trPr>
        <w:tc>
          <w:tcPr>
            <w:tcW w:w="5000" w:type="pct"/>
            <w:vAlign w:val="center"/>
            <w:hideMark/>
          </w:tcPr>
          <w:p w:rsidR="0081053F" w:rsidRDefault="0081053F">
            <w:pPr>
              <w:jc w:val="center"/>
              <w:rPr>
                <w:rFonts w:eastAsia="Times New Roman"/>
              </w:rPr>
            </w:pPr>
          </w:p>
        </w:tc>
      </w:tr>
      <w:tr w:rsidR="004A7B24">
        <w:trPr>
          <w:tblCellSpacing w:w="15" w:type="dxa"/>
        </w:trPr>
        <w:tc>
          <w:tcPr>
            <w:tcW w:w="5000" w:type="pct"/>
            <w:vAlign w:val="center"/>
          </w:tcPr>
          <w:p w:rsidR="004A7B24" w:rsidRDefault="004A7B24">
            <w:pPr>
              <w:jc w:val="center"/>
              <w:rPr>
                <w:rFonts w:eastAsia="Times New Roman"/>
              </w:rPr>
            </w:pPr>
          </w:p>
        </w:tc>
      </w:tr>
    </w:tbl>
    <w:p w:rsidR="0081053F" w:rsidRDefault="0081053F">
      <w:pPr>
        <w:pStyle w:val="NormalWeb"/>
        <w:pageBreakBefore/>
        <w:spacing w:before="0" w:beforeAutospacing="0" w:after="0" w:afterAutospacing="0"/>
        <w:rPr>
          <w:vanish/>
        </w:rPr>
      </w:pPr>
      <w:bookmarkStart w:id="0" w:name="_GoBack"/>
      <w:bookmarkEnd w:id="0"/>
    </w:p>
    <w:sectPr w:rsidR="008105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B24"/>
    <w:rsid w:val="00484080"/>
    <w:rsid w:val="004A7B24"/>
    <w:rsid w:val="0081053F"/>
    <w:rsid w:val="00F67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E9F626-1D5C-49D4-9EDA-CFE68C93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Show Minutes (Word version)</vt:lpstr>
    </vt:vector>
  </TitlesOfParts>
  <Company>Hewlett-Packard Company</Company>
  <LinksUpToDate>false</LinksUpToDate>
  <CharactersWithSpaces>6605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Show Minutes (Word version)</dc:title>
  <dc:subject/>
  <dc:creator>Matthews</dc:creator>
  <cp:keywords/>
  <dc:description/>
  <cp:lastModifiedBy>Matthews</cp:lastModifiedBy>
  <cp:revision>2</cp:revision>
  <dcterms:created xsi:type="dcterms:W3CDTF">2022-08-17T08:51:00Z</dcterms:created>
  <dcterms:modified xsi:type="dcterms:W3CDTF">2022-08-17T08:51:00Z</dcterms:modified>
</cp:coreProperties>
</file>